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400050"/>
                    </a:xfrm>
                    <a:prstGeom prst="rect">
                      <a:avLst/>
                    </a:prstGeom>
                  </pic:spPr>
                </pic:pic>
              </a:graphicData>
            </a:graphic>
          </wp:inline>
        </w:drawing>
      </w:r>
    </w:p>
    <w:p>
      <w:pPr>
        <w:spacing w:after="120"/>
      </w:pPr>
      <w:r>
        <w:rPr>
          <w:rFonts w:ascii="Arial" w:cs="Arial" w:eastAsia="Arial" w:hAnsi="Arial"/>
          <w:caps/>
          <w:color w:val="1B6B4A"/>
          <w:sz w:val="18"/>
          <w:szCs w:val="18"/>
        </w:rPr>
        <w:t xml:space="preserve">Block B · User-facing, mandatory</w:t>
      </w:r>
    </w:p>
    <w:p>
      <w:pPr>
        <w:spacing w:after="80"/>
      </w:pPr>
      <w:r>
        <w:rPr>
          <w:rFonts w:ascii="Arial" w:cs="Arial" w:eastAsia="Arial" w:hAnsi="Arial"/>
          <w:b/>
          <w:bCs/>
          <w:color w:val="1A1A2E"/>
          <w:sz w:val="36"/>
          <w:szCs w:val="36"/>
        </w:rPr>
        <w:t xml:space="preserve">Privacy Policy</w:t>
      </w:r>
    </w:p>
    <w:p>
      <w:pPr>
        <w:spacing w:after="80"/>
      </w:pPr>
      <w:r>
        <w:rPr>
          <w:rFonts w:ascii="Arial" w:cs="Arial" w:eastAsia="Arial" w:hAnsi="Arial"/>
          <w:i/>
          <w:iCs/>
          <w:color w:val="666666"/>
          <w:sz w:val="20"/>
          <w:szCs w:val="20"/>
        </w:rPr>
        <w:t xml:space="preserve">Cashletics mobile application — English version</w:t>
      </w:r>
    </w:p>
    <w:p>
      <w:pPr>
        <w:spacing w:after="240"/>
      </w:pPr>
      <w:r>
        <w:rPr>
          <w:rFonts w:ascii="Courier New" w:cs="Courier New" w:eastAsia="Courier New" w:hAnsi="Courier New"/>
          <w:color w:val="666666"/>
          <w:sz w:val="20"/>
          <w:szCs w:val="20"/>
        </w:rPr>
        <w:t xml:space="preserve">AT-001-EN</w:t>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Privacy Policy (AT-001).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https://cashleticsapp.com/legal.php?slug=adatkezeles&amp;lang=hu</w:t>
            </w:r>
          </w:p>
        </w:tc>
      </w:tr>
    </w:tbl>
    <w:p>
      <w:pPr>
        <w:spacing w:after="200"/>
      </w:pP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6838"/>
      </w:tblGrid>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Controller</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 (sole trader / egyéni vállalkozó)
6044 Kecskemét, Hetény-Belsőnyír 268/2., Hungary</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Effective date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1 August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Prepared by</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Dr. Crespo Zsuzsanna | zsuzsanna@crespo.hu</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v1.8</w:t>
            </w:r>
            <w:r>
              <w:t xml:space="preserve"> |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Governing language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Hungarian (AT-001) — this EN version is a translation</w:t>
            </w:r>
          </w:p>
        </w:tc>
      </w:tr>
    </w:tbl>
    <w:p>
      <w:pPr>
        <w:spacing w:after="0"/>
      </w:pPr>
      <w:r>
        <w:br w:type="page"/>
      </w:r>
    </w:p>
    <w:p>
      <w:pPr>
        <w:shd w:fill="1B6B4A" w:val="clear"/>
        <w:spacing w:after="120" w:before="280"/>
        <w:ind w:left="120" w:right="120"/>
      </w:pPr>
      <w:r>
        <w:rPr>
          <w:rFonts w:ascii="Arial" w:cs="Arial" w:eastAsia="Arial" w:hAnsi="Arial"/>
          <w:b/>
          <w:bCs/>
          <w:color w:val="FFFFFF"/>
          <w:sz w:val="24"/>
          <w:szCs w:val="24"/>
        </w:rPr>
        <w:t xml:space="preserve">1. Data Controller Details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Controller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Business form</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Sole trader (egyéni vállalkozó / EV), Hungary</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Registered address</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6044 Kecskemét, Hetény-Belsőnyír 268/2., Hungary</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Registration number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58145155</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Tax number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41905517-1-23</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Privacy contact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Support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support@cashleticsapp.com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legal@cashleticsapp.com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Support phone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+36 30 728 4422</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Website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https://cashleticsapp.com/legal.php</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request (web form)</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https://cashleticsapp.com/adatkerelem.php</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Account deletion (web form)</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https://cashleticsapp.com/fiok-torlese.php</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Response deadline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30 days (GDPR Article 12)</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2. Purpose of This Policy and Data Processing Principles</w:t>
      </w:r>
    </w:p>
    <w:p>
      <w:pPr>
        <w:spacing w:after="60" w:before="0"/>
      </w:pPr>
      <w:r>
        <w:t xml:space="preserve"/>
      </w:r>
    </w:p>
    <w:p>
      <w:pPr>
        <w:spacing w:after="80" w:before="60"/>
        <w:jc w:val="both"/>
      </w:pPr>
      <w:r>
        <w:rPr>
          <w:rFonts w:ascii="Arial" w:cs="Arial" w:eastAsia="Arial" w:hAnsi="Arial"/>
          <w:color w:val="1A1A2E"/>
          <w:sz w:val="22"/>
          <w:szCs w:val="22"/>
        </w:rPr>
        <w:t xml:space="preserve">This Privacy Policy describes what personal data we process when you use the Cashletics application, for what purpose, on what legal basis, for how long we retain it, and what rights you have as a data subject.</w:t>
      </w:r>
    </w:p>
    <w:p>
      <w:pPr>
        <w:spacing w:after="60" w:before="0"/>
      </w:pPr>
      <w:r>
        <w:t xml:space="preserve"/>
      </w:r>
    </w:p>
    <w:p>
      <w:pPr>
        <w:spacing w:after="80" w:before="60"/>
        <w:jc w:val="both"/>
      </w:pPr>
      <w:r>
        <w:rPr>
          <w:rFonts w:ascii="Arial" w:cs="Arial" w:eastAsia="Arial" w:hAnsi="Arial"/>
          <w:color w:val="1A1A2E"/>
          <w:sz w:val="22"/>
          <w:szCs w:val="22"/>
        </w:rPr>
        <w:t xml:space="preserve">Data processing principles (GDPR Article 5):</w:t>
      </w:r>
    </w:p>
    <w:p>
      <w:pPr>
        <w:pStyle w:val="ListParagraph"/>
        <w:numPr>
          <w:ilvl w:val="0"/>
          <w:numId w:val="2"/>
        </w:numPr>
        <w:spacing w:after="40" w:before="40"/>
      </w:pPr>
      <w:r>
        <w:rPr>
          <w:rFonts w:ascii="Arial" w:cs="Arial" w:eastAsia="Arial" w:hAnsi="Arial"/>
          <w:color w:val="1A1A2E"/>
          <w:sz w:val="22"/>
          <w:szCs w:val="22"/>
        </w:rPr>
        <w:t xml:space="preserve">Lawfulness, fairness, and transparency</w:t>
      </w:r>
    </w:p>
    <w:p>
      <w:pPr>
        <w:pStyle w:val="ListParagraph"/>
        <w:numPr>
          <w:ilvl w:val="0"/>
          <w:numId w:val="2"/>
        </w:numPr>
        <w:spacing w:after="40" w:before="40"/>
      </w:pPr>
      <w:r>
        <w:rPr>
          <w:rFonts w:ascii="Arial" w:cs="Arial" w:eastAsia="Arial" w:hAnsi="Arial"/>
          <w:color w:val="1A1A2E"/>
          <w:sz w:val="22"/>
          <w:szCs w:val="22"/>
        </w:rPr>
        <w:t xml:space="preserve">Purpose limitation — data is used only for specified, explicit purposes</w:t>
      </w:r>
    </w:p>
    <w:p>
      <w:pPr>
        <w:pStyle w:val="ListParagraph"/>
        <w:numPr>
          <w:ilvl w:val="0"/>
          <w:numId w:val="2"/>
        </w:numPr>
        <w:spacing w:after="40" w:before="40"/>
      </w:pPr>
      <w:r>
        <w:rPr>
          <w:rFonts w:ascii="Arial" w:cs="Arial" w:eastAsia="Arial" w:hAnsi="Arial"/>
          <w:color w:val="1A1A2E"/>
          <w:sz w:val="22"/>
          <w:szCs w:val="22"/>
        </w:rPr>
        <w:t xml:space="preserve">Data minimisation — only data necessary for the given purpose is processed</w:t>
      </w:r>
    </w:p>
    <w:p>
      <w:pPr>
        <w:pStyle w:val="ListParagraph"/>
        <w:numPr>
          <w:ilvl w:val="0"/>
          <w:numId w:val="2"/>
        </w:numPr>
        <w:spacing w:after="40" w:before="40"/>
      </w:pPr>
      <w:r>
        <w:rPr>
          <w:rFonts w:ascii="Arial" w:cs="Arial" w:eastAsia="Arial" w:hAnsi="Arial"/>
          <w:color w:val="1A1A2E"/>
          <w:sz w:val="22"/>
          <w:szCs w:val="22"/>
        </w:rPr>
        <w:t xml:space="preserve">Accuracy and storage limitation</w:t>
      </w:r>
    </w:p>
    <w:p>
      <w:pPr>
        <w:pStyle w:val="ListParagraph"/>
        <w:numPr>
          <w:ilvl w:val="0"/>
          <w:numId w:val="2"/>
        </w:numPr>
        <w:spacing w:after="40" w:before="40"/>
      </w:pPr>
      <w:r>
        <w:rPr>
          <w:rFonts w:ascii="Arial" w:cs="Arial" w:eastAsia="Arial" w:hAnsi="Arial"/>
          <w:color w:val="1A1A2E"/>
          <w:sz w:val="22"/>
          <w:szCs w:val="22"/>
        </w:rPr>
        <w:t xml:space="preserve">Integrity, confidentiality, and accountability</w:t>
      </w:r>
    </w:p>
    <w:p>
      <w:pPr>
        <w:spacing w:after="60" w:before="0"/>
      </w:pPr>
      <w:r>
        <w:t xml:space="preserve"/>
      </w:r>
    </w:p>
    <w:tbl>
      <w:tblPr>
        <w:tblW w:type="dxa" w:w="9638"/>
        <w:tblBorders>
          <w:top w:val="single" w:color="D4A017" w:sz="4"/>
          <w:left w:val="single" w:color="D4A017" w:sz="4"/>
          <w:bottom w:val="single" w:color="D4A017" w:sz="4"/>
          <w:right w:val="single" w:color="D4A017" w:sz="4"/>
          <w:insideH w:val="single" w:color="auto" w:sz="4"/>
          <w:insideV w:val="single" w:color="auto" w:sz="4"/>
        </w:tblBorders>
      </w:tblPr>
      <w:tblGrid>
        <w:gridCol w:w="9638"/>
      </w:tblGrid>
      <w:tr>
        <w:tc>
          <w:tcPr>
            <w:tcW w:type="dxa" w:w="9638"/>
            <w:tcBorders>
              <w:top w:val="single" w:color="D4A017" w:sz="4"/>
              <w:left w:val="single" w:color="D4A017" w:sz="4"/>
              <w:bottom w:val="single" w:color="D4A017" w:sz="4"/>
              <w:right w:val="single" w:color="D4A017" w:sz="4"/>
            </w:tcBorders>
            <w:shd w:fill="FEF6E4" w:val="clear"/>
            <w:tcMar>
              <w:top w:type="dxa" w:w="100"/>
              <w:left w:type="dxa" w:w="200"/>
              <w:bottom w:type="dxa" w:w="100"/>
              <w:right w:type="dxa" w:w="200"/>
            </w:tcMar>
          </w:tcPr>
          <w:p>
            <w:r>
              <w:rPr>
                <w:rFonts w:ascii="Arial" w:cs="Arial" w:eastAsia="Arial" w:hAnsi="Arial"/>
                <w:b/>
                <w:bCs/>
                <w:color w:val="D4A017"/>
                <w:sz w:val="20"/>
                <w:szCs w:val="20"/>
              </w:rPr>
              <w:t xml:space="preserve">Please do not enter special category data (e.g. medical conditions, political views) or personal data of third parties into the application, unless you have a lawful basis to do so.</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3. Overview of Legal Bases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600"/>
        <w:gridCol w:w="1600"/>
        <w:gridCol w:w="5438"/>
      </w:tblGrid>
      <w:tr>
        <w:trPr>
          <w:tblHeader/>
        </w:trPr>
        <w:tc>
          <w:tcPr>
            <w:tcW w:type="dxa" w:w="2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basis</w:t>
            </w:r>
          </w:p>
        </w:tc>
        <w:tc>
          <w:tcPr>
            <w:tcW w:type="dxa" w:w="1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GDPR reference</w:t>
            </w:r>
          </w:p>
        </w:tc>
        <w:tc>
          <w:tcPr>
            <w:tcW w:type="dxa" w:w="5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When applied</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Performance of contract</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5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Account, financial records, goals — core app functions</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Consent</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w:t>
            </w:r>
          </w:p>
        </w:tc>
        <w:tc>
          <w:tcPr>
            <w:tcW w:type="dxa" w:w="5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Analytics, marketing notifications, AdMob, leaderboard, banking notifications</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Explicit consent</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9(2)(a)</w:t>
            </w:r>
          </w:p>
        </w:tc>
        <w:tc>
          <w:tcPr>
            <w:tcW w:type="dxa" w:w="5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data (step count) — special category data</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Legitimate interests</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6(1)(f)</w:t>
            </w:r>
          </w:p>
        </w:tc>
        <w:tc>
          <w:tcPr>
            <w:tcW w:type="dxa" w:w="5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Bug fixing, fraud prevention, internal statistics</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Legal obligation</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6(1)(c)</w:t>
            </w:r>
          </w:p>
        </w:tc>
        <w:tc>
          <w:tcPr>
            <w:tcW w:type="dxa" w:w="5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Tax / accounting retention obligations (where applicable)</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4. Personal Data Processed — Itemised Table</w:t>
      </w:r>
    </w:p>
    <w:p>
      <w:pPr>
        <w:spacing w:after="60" w:before="0"/>
      </w:pPr>
      <w:r>
        <w:t xml:space="preserve"/>
      </w:r>
    </w:p>
    <w:p>
      <w:pPr>
        <w:spacing w:after="80" w:before="60"/>
        <w:jc w:val="both"/>
      </w:pPr>
      <w:r>
        <w:rPr>
          <w:rFonts w:ascii="Arial" w:cs="Arial" w:eastAsia="Arial" w:hAnsi="Arial"/>
          <w:color w:val="1A1A2E"/>
          <w:sz w:val="22"/>
          <w:szCs w:val="22"/>
        </w:rPr>
        <w:t xml:space="preserve">The table below covers all processing activities. The detailed Record of Processing Activities (GDPR Art. 30): ROPA-001.</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900"/>
        <w:gridCol w:w="2238"/>
        <w:gridCol w:w="1800"/>
        <w:gridCol w:w="1500"/>
        <w:gridCol w:w="2200"/>
      </w:tblGrid>
      <w:tr>
        <w:trPr>
          <w:tblHeader/>
        </w:trPr>
        <w:tc>
          <w:tcPr>
            <w:tcW w:type="dxa" w:w="19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category</w:t>
            </w:r>
          </w:p>
        </w:tc>
        <w:tc>
          <w:tcPr>
            <w:tcW w:type="dxa" w:w="2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Specific data</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Purpose</w:t>
            </w:r>
          </w:p>
        </w:tc>
        <w:tc>
          <w:tcPr>
            <w:tcW w:type="dxa" w:w="15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basis</w:t>
            </w:r>
          </w:p>
        </w:tc>
        <w:tc>
          <w:tcPr>
            <w:tcW w:type="dxa" w:w="2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Retention</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Account data</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Email, username, avatar, password (hash), Google UID</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Registration, authentication, security</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Until account deletion + 30 days</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Profile data</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Country, age, gender, language, currency, theme</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Personalisation, app function</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Until account deletion</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Financial records</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Income/expense amount, category, date, note</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Core app function, statistics</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Until account deletion + 30 days</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Savings goals</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Goal name, amount, deadline, status</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Core app function</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Until account deletion + 30 days</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Points / badges</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XP, CP, coins, levels, badges, streaks</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Gamification, motivation</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Until account deletion</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Leaderboard data</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Username, avatar, score — publicly visible</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Community competition, motivation</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 consent</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Until consent withdrawal</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Consent records</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Who accepted what, when (timestamp, version)</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Art. 7(1) accountability</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6(1)(c) legal obl.</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Account deletion + 5 years</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Prize draw data</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Participation, draw, winner identification</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Running and fulfilling draws</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6(1)(b)</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Prize delivery + 5 years</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data</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Step count (daily aggregate)</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Activity tracking, reward</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9(2)(a) explicit consent</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Until consent withdrawal / max 90 days</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Banking notification text</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Notification text (deleted after processing)</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Expense recognition (optional)</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 consent</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Deleted immediately after processing</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Analytics data</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Usage events, screen time, app version</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Bug fixing, development</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Art. 6(1)(a) consent</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90 days (Firebase Analytics default)</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Ad data (AdMob)</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Ad identifier, Android ID, IP address</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Personalised advertising</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 consent</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Per AdMob own policy</w:t>
            </w:r>
          </w:p>
        </w:tc>
      </w:tr>
      <w:tr>
        <w:tc>
          <w:tcPr>
            <w:tcW w:type="dxa" w:w="19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Support communication</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Email correspondence content</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Customer support</w:t>
            </w:r>
          </w:p>
        </w:tc>
        <w:tc>
          <w:tcPr>
            <w:tcW w:type="dxa" w:w="15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 / 6(1)(f)</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3 years</w:t>
            </w:r>
          </w:p>
        </w:tc>
      </w:tr>
      <w:tr>
        <w:tc>
          <w:tcPr>
            <w:tcW w:type="dxa" w:w="19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Technical / diagnostic</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Device type, OS version, app version</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Bug fixing, security</w:t>
            </w:r>
          </w:p>
        </w:tc>
        <w:tc>
          <w:tcPr>
            <w:tcW w:type="dxa" w:w="15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6(1)(f) legitimate int.</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90 days</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5. Data Processors and Firebase Data Flow</w:t>
      </w:r>
    </w:p>
    <w:p>
      <w:pPr>
        <w:spacing w:after="60" w:before="0"/>
      </w:pPr>
      <w:r>
        <w:t xml:space="preserve"/>
      </w:r>
    </w:p>
    <w:p>
      <w:pPr>
        <w:spacing w:after="80" w:before="60"/>
        <w:jc w:val="both"/>
      </w:pPr>
      <w:r>
        <w:rPr>
          <w:rFonts w:ascii="Arial" w:cs="Arial" w:eastAsia="Arial" w:hAnsi="Arial"/>
          <w:color w:val="1A1A2E"/>
          <w:sz w:val="22"/>
          <w:szCs w:val="22"/>
        </w:rPr>
        <w:t xml:space="preserve">The application uses the following Firebase (Google LLC) services and other data processors. A written Data Processing Agreement (DPA) is in place / to be concluded with each processor (GDPR Art. 28). Detailed register: DPA-001.</w:t>
      </w:r>
    </w:p>
    <w:p>
      <w:pPr>
        <w:spacing w:after="60" w:before="0"/>
      </w:pPr>
      <w:r>
        <w:t xml:space="preserve"/>
      </w:r>
    </w:p>
    <w:p>
      <w:pPr>
        <w:spacing w:after="80" w:before="220"/>
      </w:pPr>
      <w:r>
        <w:rPr>
          <w:rFonts w:ascii="Arial" w:cs="Arial" w:eastAsia="Arial" w:hAnsi="Arial"/>
          <w:b/>
          <w:bCs/>
          <w:color w:val="1B6B4A"/>
          <w:sz w:val="22"/>
          <w:szCs w:val="22"/>
        </w:rPr>
        <w:t xml:space="preserve">5.1 Active Firebase services</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000"/>
        <w:gridCol w:w="1600"/>
        <w:gridCol w:w="3038"/>
        <w:gridCol w:w="1600"/>
        <w:gridCol w:w="1400"/>
      </w:tblGrid>
      <w:tr>
        <w:trPr>
          <w:tblHeader/>
        </w:trPr>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Service</w:t>
            </w:r>
          </w:p>
        </w:tc>
        <w:tc>
          <w:tcPr>
            <w:tcW w:type="dxa" w:w="1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Google LLC entity</w:t>
            </w:r>
          </w:p>
        </w:tc>
        <w:tc>
          <w:tcPr>
            <w:tcW w:type="dxa" w:w="30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processed</w:t>
            </w:r>
          </w:p>
        </w:tc>
        <w:tc>
          <w:tcPr>
            <w:tcW w:type="dxa" w:w="1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Server location</w:t>
            </w:r>
          </w:p>
        </w:tc>
        <w:tc>
          <w:tcPr>
            <w:tcW w:type="dxa" w:w="1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Transfer basis</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Firebase Auth</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w:t>
            </w:r>
          </w:p>
        </w:tc>
        <w:tc>
          <w:tcPr>
            <w:tcW w:type="dxa" w:w="3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Email, Google UID, password (hash), login timestamps</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 / EU</w:t>
            </w:r>
          </w:p>
        </w:tc>
        <w:tc>
          <w:tcPr>
            <w:tcW w:type="dxa" w:w="1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Cloud Firestore</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w:t>
            </w:r>
          </w:p>
        </w:tc>
        <w:tc>
          <w:tcPr>
            <w:tcW w:type="dxa" w:w="3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All user data (profile, transactions, points, consent)</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USA / EU</w:t>
            </w:r>
          </w:p>
        </w:tc>
        <w:tc>
          <w:tcPr>
            <w:tcW w:type="dxa" w:w="1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Firebase Analytics</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w:t>
            </w:r>
          </w:p>
        </w:tc>
        <w:tc>
          <w:tcPr>
            <w:tcW w:type="dxa" w:w="3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Usage events, session data, device info</w:t>
            </w:r>
          </w:p>
        </w:tc>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w:t>
            </w:r>
          </w:p>
        </w:tc>
        <w:tc>
          <w:tcPr>
            <w:tcW w:type="dxa" w:w="1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Cloud Functions</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w:t>
            </w:r>
          </w:p>
        </w:tc>
        <w:tc>
          <w:tcPr>
            <w:tcW w:type="dxa" w:w="3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Server-side processing (rewards, draws)</w:t>
            </w:r>
          </w:p>
        </w:tc>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USA / EU</w:t>
            </w:r>
          </w:p>
        </w:tc>
        <w:tc>
          <w:tcPr>
            <w:tcW w:type="dxa" w:w="1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r>
    </w:tbl>
    <w:p>
      <w:pPr>
        <w:spacing w:after="60" w:before="0"/>
      </w:pPr>
      <w:r>
        <w:t xml:space="preserve"/>
      </w:r>
    </w:p>
    <w:p>
      <w:pPr>
        <w:spacing w:after="80" w:before="220"/>
      </w:pPr>
      <w:r>
        <w:rPr>
          <w:rFonts w:ascii="Arial" w:cs="Arial" w:eastAsia="Arial" w:hAnsi="Arial"/>
          <w:b/>
          <w:bCs/>
          <w:color w:val="1B6B4A"/>
          <w:sz w:val="22"/>
          <w:szCs w:val="22"/>
        </w:rPr>
        <w:t xml:space="preserve">5.2 Other data processors</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200"/>
        <w:gridCol w:w="1200"/>
        <w:gridCol w:w="2038"/>
        <w:gridCol w:w="2400"/>
        <w:gridCol w:w="1800"/>
      </w:tblGrid>
      <w:tr>
        <w:trPr>
          <w:tblHeader/>
        </w:trPr>
        <w:tc>
          <w:tcPr>
            <w:tcW w:type="dxa" w:w="2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Processor</w:t>
            </w:r>
          </w:p>
        </w:tc>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HQ</w:t>
            </w:r>
          </w:p>
        </w:tc>
        <w:tc>
          <w:tcPr>
            <w:tcW w:type="dxa" w:w="20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Role</w:t>
            </w:r>
          </w:p>
        </w:tc>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processed</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Transfer basis</w:t>
            </w:r>
          </w:p>
        </w:tc>
      </w:tr>
      <w:tr>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AdMob</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w:t>
            </w:r>
          </w:p>
        </w:tc>
        <w:tc>
          <w:tcPr>
            <w:tcW w:type="dxa" w:w="2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Ad serving</w:t>
            </w:r>
          </w:p>
        </w:tc>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Android ID, IP, ad tracking data</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r>
      <w:tr>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Play Store</w:t>
            </w:r>
          </w:p>
        </w:tc>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USA</w:t>
            </w:r>
          </w:p>
        </w:tc>
        <w:tc>
          <w:tcPr>
            <w:tcW w:type="dxa" w:w="2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Subscription, purchases</w:t>
            </w:r>
          </w:p>
        </w:tc>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Transaction metadata</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r>
      <w:tr>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Sybell Informatika Kft.</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Budapest, HU</w:t>
            </w:r>
          </w:p>
        </w:tc>
        <w:tc>
          <w:tcPr>
            <w:tcW w:type="dxa" w:w="2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Web hosting, email (support)</w:t>
            </w:r>
          </w:p>
        </w:tc>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Support correspondence</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 — no USA transfer</w:t>
            </w:r>
          </w:p>
        </w:tc>
      </w:tr>
    </w:tbl>
    <w:p>
      <w:pPr>
        <w:spacing w:after="60" w:before="0"/>
      </w:pPr>
      <w:r>
        <w:t xml:space="preserve"/>
      </w:r>
    </w:p>
    <w:tbl>
      <w:tblPr>
        <w:tblW w:type="dxa" w:w="9638"/>
        <w:tblBorders>
          <w:top w:val="single" w:color="D4A017" w:sz="4"/>
          <w:left w:val="single" w:color="D4A017" w:sz="4"/>
          <w:bottom w:val="single" w:color="D4A017" w:sz="4"/>
          <w:right w:val="single" w:color="D4A017" w:sz="4"/>
          <w:insideH w:val="single" w:color="auto" w:sz="4"/>
          <w:insideV w:val="single" w:color="auto" w:sz="4"/>
        </w:tblBorders>
      </w:tblPr>
      <w:tblGrid>
        <w:gridCol w:w="9638"/>
      </w:tblGrid>
      <w:tr>
        <w:tc>
          <w:tcPr>
            <w:tcW w:type="dxa" w:w="9638"/>
            <w:tcBorders>
              <w:top w:val="single" w:color="D4A017" w:sz="4"/>
              <w:left w:val="single" w:color="D4A017" w:sz="4"/>
              <w:bottom w:val="single" w:color="D4A017" w:sz="4"/>
              <w:right w:val="single" w:color="D4A017" w:sz="4"/>
            </w:tcBorders>
            <w:shd w:fill="FEF6E4" w:val="clear"/>
            <w:tcMar>
              <w:top w:type="dxa" w:w="100"/>
              <w:left w:type="dxa" w:w="200"/>
              <w:bottom w:type="dxa" w:w="100"/>
              <w:right w:type="dxa" w:w="200"/>
            </w:tcMar>
          </w:tcPr>
          <w:p>
            <w:r>
              <w:rPr>
                <w:rFonts w:ascii="Arial" w:cs="Arial" w:eastAsia="Arial" w:hAnsi="Arial"/>
                <w:b/>
                <w:bCs/>
                <w:color w:val="D4A017"/>
                <w:sz w:val="20"/>
                <w:szCs w:val="20"/>
              </w:rPr>
              <w:t xml:space="preserve">Masterpont Kft. (masterpont.hu) is NOT a data processor — it has no access to any user data.</w:t>
            </w:r>
          </w:p>
        </w:tc>
      </w:tr>
    </w:tbl>
    <w:p>
      <w:pPr>
        <w:spacing w:after="60" w:before="0"/>
      </w:pPr>
      <w:r>
        <w:t xml:space="preserve"/>
      </w:r>
    </w:p>
    <w:p>
      <w:pPr>
        <w:spacing w:after="80" w:before="220"/>
      </w:pPr>
      <w:r>
        <w:rPr>
          <w:rFonts w:ascii="Arial" w:cs="Arial" w:eastAsia="Arial" w:hAnsi="Arial"/>
          <w:b/>
          <w:bCs/>
          <w:color w:val="1B6B4A"/>
          <w:sz w:val="22"/>
          <w:szCs w:val="22"/>
        </w:rPr>
        <w:t xml:space="preserve">5.3 Firebase data flow (schematic)</w:t>
      </w:r>
    </w:p>
    <w:p>
      <w:pPr>
        <w:spacing w:after="80" w:before="60"/>
        <w:jc w:val="both"/>
      </w:pPr>
      <w:r>
        <w:rPr>
          <w:rFonts w:ascii="Arial" w:cs="Arial" w:eastAsia="Arial" w:hAnsi="Arial"/>
          <w:i/>
          <w:iCs/>
          <w:color w:val="1A1A2E"/>
          <w:sz w:val="22"/>
          <w:szCs w:val="22"/>
        </w:rPr>
        <w:t xml:space="preserve">Phone → Firebase Auth (authentication) → Cloud Firestore (data storage) → Firebase Analytics (analytics) → Cloud Functions (server processing) → AdMob (advertising) — all USA transfers on EU-US DPF basis.</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6. Health Data — Step Count (GDPR Article 9)</w:t>
      </w:r>
    </w:p>
    <w:p>
      <w:pPr>
        <w:spacing w:after="60" w:before="0"/>
      </w:pPr>
      <w:r>
        <w:t xml:space="preserve"/>
      </w:r>
    </w:p>
    <w:tbl>
      <w:tblPr>
        <w:tblW w:type="dxa" w:w="9638"/>
        <w:tblBorders>
          <w:top w:val="single" w:color="D4A017" w:sz="4"/>
          <w:left w:val="single" w:color="D4A017" w:sz="4"/>
          <w:bottom w:val="single" w:color="D4A017" w:sz="4"/>
          <w:right w:val="single" w:color="D4A017" w:sz="4"/>
          <w:insideH w:val="single" w:color="auto" w:sz="4"/>
          <w:insideV w:val="single" w:color="auto" w:sz="4"/>
        </w:tblBorders>
      </w:tblPr>
      <w:tblGrid>
        <w:gridCol w:w="9638"/>
      </w:tblGrid>
      <w:tr>
        <w:tc>
          <w:tcPr>
            <w:tcW w:type="dxa" w:w="9638"/>
            <w:tcBorders>
              <w:top w:val="single" w:color="D4A017" w:sz="4"/>
              <w:left w:val="single" w:color="D4A017" w:sz="4"/>
              <w:bottom w:val="single" w:color="D4A017" w:sz="4"/>
              <w:right w:val="single" w:color="D4A017" w:sz="4"/>
            </w:tcBorders>
            <w:shd w:fill="FEF6E4" w:val="clear"/>
            <w:tcMar>
              <w:top w:type="dxa" w:w="100"/>
              <w:left w:type="dxa" w:w="200"/>
              <w:bottom w:type="dxa" w:w="100"/>
              <w:right w:type="dxa" w:w="200"/>
            </w:tcMar>
          </w:tcPr>
          <w:p>
            <w:r>
              <w:rPr>
                <w:rFonts w:ascii="Arial" w:cs="Arial" w:eastAsia="Arial" w:hAnsi="Arial"/>
                <w:b/>
                <w:bCs/>
                <w:color w:val="D4A017"/>
                <w:sz w:val="20"/>
                <w:szCs w:val="20"/>
              </w:rPr>
              <w:t xml:space="preserve">⚠️  SPECIAL CATEGORY DATA — GDPR ARTICLE 9 | Step count qualifies as health data. Processing is only lawful with explicit consent (GDPR Art. 9(2)(a)).</w:t>
            </w:r>
          </w:p>
        </w:tc>
      </w:tr>
    </w:tbl>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3419"/>
        <w:gridCol w:w="3419"/>
      </w:tblGrid>
      <w:tr>
        <w:trPr>
          <w:tblHeader/>
        </w:trP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Parameter</w:t>
            </w:r>
          </w:p>
        </w:tc>
        <w:tc>
          <w:tcPr>
            <w:tcW w:type="dxa" w:w="3419"/>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Android (Health Connect)</w:t>
            </w:r>
          </w:p>
        </w:tc>
        <w:tc>
          <w:tcPr>
            <w:tcW w:type="dxa" w:w="3419"/>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iOS (HealthKit)</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Data source</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Connect API or device sensor</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iOS / HealthKit currently inactive; to be updated before iOS launch</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Permission type</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READ_STEPS</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iOS / HealthKit currently inactive</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Data processed</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 aggregate step count</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iOS / HealthKit currently inactive; to be updated before iOS launch</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Legal basis</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GDPR Art. 9(2)(a) explicit consent</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GDPR Art. 9(2)(a) explicit consent</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Storage</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Firestore (aggregated, not raw)</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Firestore (aggregated, not raw)</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Retention</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Until consent withdrawal / max 90 days</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iOS / HealthKit currently inactive; to be updated before iOS launch</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Revocable?</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Yes — at any time via app settings</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Yes — at any time</w:t>
            </w:r>
          </w:p>
        </w:tc>
      </w:tr>
    </w:tbl>
    <w:p>
      <w:pPr>
        <w:spacing w:after="60" w:before="0"/>
      </w:pPr>
      <w:r>
        <w:t xml:space="preserve"/>
      </w:r>
    </w:p>
    <w:p>
      <w:pPr>
        <w:spacing w:after="80" w:before="60"/>
        <w:jc w:val="both"/>
      </w:pPr>
      <w:r>
        <w:rPr>
          <w:rFonts w:ascii="Arial" w:cs="Arial" w:eastAsia="Arial" w:hAnsi="Arial"/>
          <w:color w:val="1A1A2E"/>
          <w:sz w:val="22"/>
          <w:szCs w:val="22"/>
        </w:rPr>
        <w:t xml:space="preserve">Health data (step count) is used EXCLUSIVELY for:</w:t>
      </w:r>
    </w:p>
    <w:p>
      <w:pPr>
        <w:pStyle w:val="ListParagraph"/>
        <w:numPr>
          <w:ilvl w:val="0"/>
          <w:numId w:val="2"/>
        </w:numPr>
        <w:spacing w:after="40" w:before="40"/>
      </w:pPr>
      <w:r>
        <w:rPr>
          <w:rFonts w:ascii="Arial" w:cs="Arial" w:eastAsia="Arial" w:hAnsi="Arial"/>
          <w:color w:val="1A1A2E"/>
          <w:sz w:val="22"/>
          <w:szCs w:val="22"/>
        </w:rPr>
        <w:t xml:space="preserve">activity tracking and gamified reward calculation</w:t>
      </w:r>
    </w:p>
    <w:p>
      <w:pPr>
        <w:pStyle w:val="ListParagraph"/>
        <w:numPr>
          <w:ilvl w:val="0"/>
          <w:numId w:val="2"/>
        </w:numPr>
        <w:spacing w:after="40" w:before="40"/>
      </w:pPr>
      <w:r>
        <w:rPr>
          <w:rFonts w:ascii="Arial" w:cs="Arial" w:eastAsia="Arial" w:hAnsi="Arial"/>
          <w:color w:val="1A1A2E"/>
          <w:sz w:val="22"/>
          <w:szCs w:val="22"/>
        </w:rPr>
        <w:t xml:space="preserve">NOT transferred to AdMob, any third-party advertiser, or any external server beyond Firestore (EU-US DPF basis)</w:t>
      </w:r>
    </w:p>
    <w:p>
      <w:pPr>
        <w:pStyle w:val="ListParagraph"/>
        <w:numPr>
          <w:ilvl w:val="0"/>
          <w:numId w:val="2"/>
        </w:numPr>
        <w:spacing w:after="40" w:before="40"/>
      </w:pPr>
      <w:r>
        <w:rPr>
          <w:rFonts w:ascii="Arial" w:cs="Arial" w:eastAsia="Arial" w:hAnsi="Arial"/>
          <w:color w:val="1A1A2E"/>
          <w:sz w:val="22"/>
          <w:szCs w:val="22"/>
        </w:rPr>
        <w:t xml:space="preserve">NOT displayed on the public leaderboard</w:t>
      </w:r>
    </w:p>
    <w:p>
      <w:pPr>
        <w:pStyle w:val="ListParagraph"/>
        <w:numPr>
          <w:ilvl w:val="0"/>
          <w:numId w:val="2"/>
        </w:numPr>
        <w:spacing w:after="40" w:before="40"/>
      </w:pPr>
      <w:r>
        <w:rPr>
          <w:rFonts w:ascii="Arial" w:cs="Arial" w:eastAsia="Arial" w:hAnsi="Arial"/>
          <w:color w:val="1A1A2E"/>
          <w:sz w:val="22"/>
          <w:szCs w:val="22"/>
        </w:rPr>
        <w:t xml:space="preserve">NOT used for profiling, insurance, or employment decisions (Google Play Health Policy)</w:t>
      </w:r>
    </w:p>
    <w:p>
      <w:pPr>
        <w:spacing w:after="60" w:before="0"/>
      </w:pPr>
      <w:r>
        <w:t xml:space="preserve"/>
      </w:r>
    </w:p>
    <w:p>
      <w:pPr>
        <w:spacing w:after="80" w:before="60"/>
        <w:jc w:val="both"/>
      </w:pPr>
      <w:r>
        <w:rPr>
          <w:rFonts w:ascii="Arial" w:cs="Arial" w:eastAsia="Arial" w:hAnsi="Arial"/>
          <w:color w:val="1A1A2E"/>
          <w:sz w:val="22"/>
          <w:szCs w:val="22"/>
        </w:rPr>
        <w:t xml:space="preserve">Detailed consent text and conditions: HE-001-EN Health Data Statement.</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7. Banking Notification Reading</w:t>
      </w:r>
    </w:p>
    <w:p>
      <w:pPr>
        <w:spacing w:after="60" w:before="0"/>
      </w:pPr>
      <w:r>
        <w:t xml:space="preserve"/>
      </w:r>
    </w:p>
    <w:p>
      <w:pPr>
        <w:spacing w:after="80" w:before="60"/>
        <w:jc w:val="both"/>
      </w:pPr>
      <w:r>
        <w:rPr>
          <w:rFonts w:ascii="Arial" w:cs="Arial" w:eastAsia="Arial" w:hAnsi="Arial"/>
          <w:color w:val="1A1A2E"/>
          <w:sz w:val="22"/>
          <w:szCs w:val="22"/>
        </w:rPr>
        <w:t xml:space="preserve">The application may optionally — and only with the user's explicit consent — read the text of banking push notifications to help identify expenses.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200"/>
        <w:gridCol w:w="6438"/>
      </w:tblGrid>
      <w:tr>
        <w:trPr>
          <w:tblHeader/>
        </w:trP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Parameter</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Value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Data processed</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Notification text (push notification content)</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App ACCESSES</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Notification text only</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App does NOT ACCESS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Bank account, account number, balance, PIN code</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Purpose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Automatic expense recognition from text</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Processing location</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Locally on device</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Retention</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Notification text deleted immediately after processing</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Legal basis</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Art. 6(1)(a) consent (BH-001-EN)</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Revocable?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Yes — at any time via app settings</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Play Store policy</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Play Financial Data policy compliant</w:t>
            </w:r>
          </w:p>
        </w:tc>
      </w:tr>
    </w:tbl>
    <w:p>
      <w:pPr>
        <w:spacing w:after="60" w:before="0"/>
      </w:pPr>
      <w:r>
        <w:t xml:space="preserve"/>
      </w:r>
    </w:p>
    <w:p>
      <w:pPr>
        <w:spacing w:after="80" w:before="60"/>
        <w:jc w:val="both"/>
      </w:pPr>
      <w:r>
        <w:rPr>
          <w:rFonts w:ascii="Arial" w:cs="Arial" w:eastAsia="Arial" w:hAnsi="Arial"/>
          <w:color w:val="1A1A2E"/>
          <w:sz w:val="22"/>
          <w:szCs w:val="22"/>
        </w:rPr>
        <w:t xml:space="preserve">Detailed conditions: BH-001-EN Banking Notification Consent.</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8. Push Notifications and Marketing</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200"/>
        <w:gridCol w:w="3200"/>
        <w:gridCol w:w="3238"/>
      </w:tblGrid>
      <w:tr>
        <w:trPr>
          <w:tblHeader/>
        </w:trP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Notification type</w:t>
            </w:r>
          </w:p>
        </w:tc>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basis</w:t>
            </w:r>
          </w:p>
        </w:tc>
        <w:tc>
          <w:tcPr>
            <w:tcW w:type="dxa" w:w="3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Revocable?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Transactional / service (e.g. reward available)</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6(1)(b) contract</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Can be limited (not fully disabled)</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Motivational / daily reminder</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 consent</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Yes — at any time</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Marketing / promotional</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6(1)(a) consent</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Yes — at any time</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9. International Data Transfers (USA)</w:t>
      </w:r>
    </w:p>
    <w:p>
      <w:pPr>
        <w:spacing w:after="60" w:before="0"/>
      </w:pPr>
      <w:r>
        <w:t xml:space="preserve"/>
      </w:r>
    </w:p>
    <w:p>
      <w:pPr>
        <w:spacing w:after="80" w:before="60"/>
        <w:jc w:val="both"/>
      </w:pPr>
      <w:r>
        <w:rPr>
          <w:rFonts w:ascii="Arial" w:cs="Arial" w:eastAsia="Arial" w:hAnsi="Arial"/>
          <w:color w:val="1A1A2E"/>
          <w:sz w:val="22"/>
          <w:szCs w:val="22"/>
        </w:rPr>
        <w:t xml:space="preserve">The cashleticsapp.com website and email infrastructure operate exclusively in the EU (Sybell Informatika Kft., Budapest) — no USA transfer occurs via email. The following transfers to the USA take place through Firebase and AdMob, exclusively on the basis of the EU–US Data Privacy Framework (EU-US DPF):</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600"/>
        <w:gridCol w:w="2438"/>
        <w:gridCol w:w="1800"/>
        <w:gridCol w:w="2800"/>
      </w:tblGrid>
      <w:tr>
        <w:trPr>
          <w:tblHeader/>
        </w:trPr>
        <w:tc>
          <w:tcPr>
            <w:tcW w:type="dxa" w:w="2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Processor</w:t>
            </w:r>
          </w:p>
        </w:tc>
        <w:tc>
          <w:tcPr>
            <w:tcW w:type="dxa" w:w="2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transferred</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Transfer basis</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DPF certification</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Firebase Auth</w:t>
            </w:r>
          </w:p>
        </w:tc>
        <w:tc>
          <w:tcPr>
            <w:tcW w:type="dxa" w:w="2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Authentication data</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Cloud Firestore</w:t>
            </w:r>
          </w:p>
        </w:tc>
        <w:tc>
          <w:tcPr>
            <w:tcW w:type="dxa" w:w="2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All user data</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Firebase Analytics</w:t>
            </w:r>
          </w:p>
        </w:tc>
        <w:tc>
          <w:tcPr>
            <w:tcW w:type="dxa" w:w="2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Usage analytics</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Cloud Functions</w:t>
            </w:r>
          </w:p>
        </w:tc>
        <w:tc>
          <w:tcPr>
            <w:tcW w:type="dxa" w:w="2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Server processing</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AdMob</w:t>
            </w:r>
          </w:p>
        </w:tc>
        <w:tc>
          <w:tcPr>
            <w:tcW w:type="dxa" w:w="2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Ad-related data</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Play Store</w:t>
            </w:r>
          </w:p>
        </w:tc>
        <w:tc>
          <w:tcPr>
            <w:tcW w:type="dxa" w:w="2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Subscription metadata</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EU-US DPF</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LLC — certified</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Sybell Informatika Kft. (email)</w:t>
            </w:r>
          </w:p>
        </w:tc>
        <w:tc>
          <w:tcPr>
            <w:tcW w:type="dxa" w:w="2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Support correspondence</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EU — no USA transfer</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t>
            </w:r>
          </w:p>
        </w:tc>
      </w:tr>
    </w:tbl>
    <w:p>
      <w:pPr>
        <w:spacing w:after="60" w:before="0"/>
      </w:pPr>
      <w:r>
        <w:t xml:space="preserve"/>
      </w:r>
    </w:p>
    <w:p>
      <w:pPr>
        <w:spacing w:after="80" w:before="60"/>
        <w:jc w:val="both"/>
      </w:pPr>
      <w:r>
        <w:rPr>
          <w:rFonts w:ascii="Arial" w:cs="Arial" w:eastAsia="Arial" w:hAnsi="Arial"/>
          <w:color w:val="1A1A2E"/>
          <w:sz w:val="22"/>
          <w:szCs w:val="22"/>
        </w:rPr>
        <w:t xml:space="preserve">EU-US DPF framework: https://www.dataprivacyframework.gov/</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10. Profiling and Automated Decision-Making (GDPR Article 22)</w:t>
      </w:r>
    </w:p>
    <w:p>
      <w:pPr>
        <w:spacing w:after="60" w:before="0"/>
      </w:pPr>
      <w:r>
        <w:t xml:space="preserve"/>
      </w:r>
    </w:p>
    <w:p>
      <w:pPr>
        <w:spacing w:after="80" w:before="60"/>
        <w:jc w:val="both"/>
      </w:pPr>
      <w:r>
        <w:rPr>
          <w:rFonts w:ascii="Arial" w:cs="Arial" w:eastAsia="Arial" w:hAnsi="Arial"/>
          <w:color w:val="1A1A2E"/>
          <w:sz w:val="22"/>
          <w:szCs w:val="22"/>
        </w:rPr>
        <w:t xml:space="preserve">The application may build a combined user profile from financial, activity, and gamification data (combination of financial + health + behavioural data). This carries profiling risk.</w:t>
      </w:r>
    </w:p>
    <w:p>
      <w:pPr>
        <w:spacing w:after="60" w:before="0"/>
      </w:pPr>
      <w:r>
        <w:t xml:space="preserve"/>
      </w:r>
    </w:p>
    <w:p>
      <w:pPr>
        <w:spacing w:after="80" w:before="60"/>
        <w:jc w:val="both"/>
      </w:pPr>
      <w:r>
        <w:rPr>
          <w:rFonts w:ascii="Arial" w:cs="Arial" w:eastAsia="Arial" w:hAnsi="Arial"/>
          <w:color w:val="1A1A2E"/>
          <w:sz w:val="22"/>
          <w:szCs w:val="22"/>
        </w:rPr>
        <w:t xml:space="preserve">Profiling is used EXCLUSIVELY for:</w:t>
      </w:r>
    </w:p>
    <w:p>
      <w:pPr>
        <w:pStyle w:val="ListParagraph"/>
        <w:numPr>
          <w:ilvl w:val="0"/>
          <w:numId w:val="2"/>
        </w:numPr>
        <w:spacing w:after="40" w:before="40"/>
      </w:pPr>
      <w:r>
        <w:rPr>
          <w:rFonts w:ascii="Arial" w:cs="Arial" w:eastAsia="Arial" w:hAnsi="Arial"/>
          <w:color w:val="1A1A2E"/>
          <w:sz w:val="22"/>
          <w:szCs w:val="22"/>
        </w:rPr>
        <w:t xml:space="preserve">Displaying personalised rewards and challenges</w:t>
      </w:r>
    </w:p>
    <w:p>
      <w:pPr>
        <w:pStyle w:val="ListParagraph"/>
        <w:numPr>
          <w:ilvl w:val="0"/>
          <w:numId w:val="2"/>
        </w:numPr>
        <w:spacing w:after="40" w:before="40"/>
      </w:pPr>
      <w:r>
        <w:rPr>
          <w:rFonts w:ascii="Arial" w:cs="Arial" w:eastAsia="Arial" w:hAnsi="Arial"/>
          <w:color w:val="1A1A2E"/>
          <w:sz w:val="22"/>
          <w:szCs w:val="22"/>
        </w:rPr>
        <w:t xml:space="preserve">Calculating leaderboard scores</w:t>
      </w:r>
    </w:p>
    <w:p>
      <w:pPr>
        <w:spacing w:after="60" w:before="0"/>
      </w:pPr>
      <w:r>
        <w:t xml:space="preserve"/>
      </w:r>
    </w:p>
    <w:p>
      <w:pPr>
        <w:spacing w:after="80" w:before="60"/>
        <w:jc w:val="both"/>
      </w:pPr>
      <w:r>
        <w:rPr>
          <w:rFonts w:ascii="Arial" w:cs="Arial" w:eastAsia="Arial" w:hAnsi="Arial"/>
          <w:color w:val="1A1A2E"/>
          <w:sz w:val="22"/>
          <w:szCs w:val="22"/>
        </w:rPr>
        <w:t xml:space="preserve">Prohibited profiling purposes (Google Play Health Policy and GDPR Art. 22):</w:t>
      </w:r>
    </w:p>
    <w:p>
      <w:pPr>
        <w:pStyle w:val="ListParagraph"/>
        <w:numPr>
          <w:ilvl w:val="0"/>
          <w:numId w:val="2"/>
        </w:numPr>
        <w:spacing w:after="40" w:before="40"/>
      </w:pPr>
      <w:r>
        <w:rPr>
          <w:rFonts w:ascii="Arial" w:cs="Arial" w:eastAsia="Arial" w:hAnsi="Arial"/>
          <w:color w:val="1A1A2E"/>
          <w:sz w:val="22"/>
          <w:szCs w:val="22"/>
        </w:rPr>
        <w:t xml:space="preserve">Automated credit, insurance, or employment decisions</w:t>
      </w:r>
    </w:p>
    <w:p>
      <w:pPr>
        <w:pStyle w:val="ListParagraph"/>
        <w:numPr>
          <w:ilvl w:val="0"/>
          <w:numId w:val="2"/>
        </w:numPr>
        <w:spacing w:after="40" w:before="40"/>
      </w:pPr>
      <w:r>
        <w:rPr>
          <w:rFonts w:ascii="Arial" w:cs="Arial" w:eastAsia="Arial" w:hAnsi="Arial"/>
          <w:color w:val="1A1A2E"/>
          <w:sz w:val="22"/>
          <w:szCs w:val="22"/>
        </w:rPr>
        <w:t xml:space="preserve">Use of health data for advertising purposes</w:t>
      </w:r>
    </w:p>
    <w:p>
      <w:pPr>
        <w:pStyle w:val="ListParagraph"/>
        <w:numPr>
          <w:ilvl w:val="0"/>
          <w:numId w:val="2"/>
        </w:numPr>
        <w:spacing w:after="40" w:before="40"/>
      </w:pPr>
      <w:r>
        <w:rPr>
          <w:rFonts w:ascii="Arial" w:cs="Arial" w:eastAsia="Arial" w:hAnsi="Arial"/>
          <w:color w:val="1A1A2E"/>
          <w:sz w:val="22"/>
          <w:szCs w:val="22"/>
        </w:rPr>
        <w:t xml:space="preserve">Transfer to third parties without notification</w:t>
      </w:r>
    </w:p>
    <w:p>
      <w:pPr>
        <w:spacing w:after="60" w:before="0"/>
      </w:pPr>
      <w:r>
        <w:t xml:space="preserve"/>
      </w:r>
    </w:p>
    <w:p>
      <w:pPr>
        <w:spacing w:after="80" w:before="60"/>
        <w:jc w:val="both"/>
      </w:pPr>
      <w:r>
        <w:rPr>
          <w:rFonts w:ascii="Arial" w:cs="Arial" w:eastAsia="Arial" w:hAnsi="Arial"/>
          <w:color w:val="1A1A2E"/>
          <w:sz w:val="22"/>
          <w:szCs w:val="22"/>
        </w:rPr>
        <w:t xml:space="preserve">Detailed Data Protection Impact Assessment: DPIA-001.</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11. Your Rights as a Data Subject (GDPR Articles 15–22)</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000"/>
        <w:gridCol w:w="1200"/>
        <w:gridCol w:w="3238"/>
        <w:gridCol w:w="3200"/>
      </w:tblGrid>
      <w:tr>
        <w:trPr>
          <w:tblHeader/>
        </w:trPr>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Right</w:t>
            </w:r>
          </w:p>
        </w:tc>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GDPR Art.</w:t>
            </w:r>
          </w:p>
        </w:tc>
        <w:tc>
          <w:tcPr>
            <w:tcW w:type="dxa" w:w="3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Description</w:t>
            </w:r>
          </w:p>
        </w:tc>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How to exercise</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Right of access</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15</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Information about data processed</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privacy@cashleticsapp.com or adatkerelem.php</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Right to rectification</w:t>
            </w:r>
          </w:p>
        </w:tc>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16</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Correction of inaccurate data</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App profile settings or email</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Right to erasure</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17</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Deletion of data ("right to be forgotten")</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fiok-torlese.php or privacy@cashleticsapp.com</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Right to restriction</w:t>
            </w:r>
          </w:p>
        </w:tc>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18</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Request restriction of processing</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Right to portability</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20</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Data in machine-readable format</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privacy@cashleticsapp.com (JSON export)</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Right to object</w:t>
            </w:r>
          </w:p>
        </w:tc>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21</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Object to legitimate interest processing</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Withdrawal of consent</w:t>
            </w:r>
          </w:p>
        </w:tc>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Art. 7(3)</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At any time, without retroactive effect</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App settings or email</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Right to complain</w:t>
            </w:r>
          </w:p>
        </w:tc>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77</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Lodge complaint with supervisory authority</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NAIH: www.naih.hu | ugyfelszolgalat@naih.hu</w:t>
            </w:r>
          </w:p>
        </w:tc>
      </w:tr>
    </w:tbl>
    <w:p>
      <w:pPr>
        <w:spacing w:after="60" w:before="0"/>
      </w:pPr>
      <w:r>
        <w:t xml:space="preserve"/>
      </w:r>
    </w:p>
    <w:p>
      <w:pPr>
        <w:spacing w:after="80" w:before="60"/>
        <w:jc w:val="both"/>
      </w:pPr>
      <w:r>
        <w:rPr>
          <w:rFonts w:ascii="Arial" w:cs="Arial" w:eastAsia="Arial" w:hAnsi="Arial"/>
          <w:color w:val="1A1A2E"/>
          <w:sz w:val="22"/>
          <w:szCs w:val="22"/>
        </w:rPr>
        <w:t xml:space="preserve">Response deadline: 30 days (GDPR Art. 12). Extendable to 60 days in justified cases; you will be notified. Detailed request handling procedure: EJ-001.</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12. Protection of Children's Data</w:t>
      </w:r>
    </w:p>
    <w:p>
      <w:pPr>
        <w:spacing w:after="60" w:before="0"/>
      </w:pPr>
      <w:r>
        <w:t xml:space="preserve"/>
      </w:r>
    </w:p>
    <w:p>
      <w:pPr>
        <w:spacing w:after="80" w:before="60"/>
        <w:jc w:val="both"/>
      </w:pPr>
      <w:r>
        <w:rPr>
          <w:rFonts w:ascii="Arial" w:cs="Arial" w:eastAsia="Arial" w:hAnsi="Arial"/>
          <w:color w:val="1A1A2E"/>
          <w:sz w:val="22"/>
          <w:szCs w:val="22"/>
        </w:rPr>
        <w:t xml:space="preserve">The application is NOT available to persons under 16 (GDPR Art. 8, Google Play Families Policy). If we become aware that we are processing data of a person under 16, we will delete it immediately and suspend the account. Please report such cases to: privacy@cashleticsapp.com</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13. Data Security</w:t>
      </w:r>
    </w:p>
    <w:p>
      <w:pPr>
        <w:spacing w:after="60" w:before="0"/>
      </w:pPr>
      <w:r>
        <w:t xml:space="preserve"/>
      </w:r>
    </w:p>
    <w:p>
      <w:pPr>
        <w:pStyle w:val="ListParagraph"/>
        <w:numPr>
          <w:ilvl w:val="0"/>
          <w:numId w:val="2"/>
        </w:numPr>
        <w:spacing w:after="40" w:before="40"/>
      </w:pPr>
      <w:r>
        <w:rPr>
          <w:rFonts w:ascii="Arial" w:cs="Arial" w:eastAsia="Arial" w:hAnsi="Arial"/>
          <w:color w:val="1A1A2E"/>
          <w:sz w:val="22"/>
          <w:szCs w:val="22"/>
        </w:rPr>
        <w:t xml:space="preserve">Firebase Security Rules (Firestore) — per-user data access isolation</w:t>
      </w:r>
    </w:p>
    <w:p>
      <w:pPr>
        <w:pStyle w:val="ListParagraph"/>
        <w:numPr>
          <w:ilvl w:val="0"/>
          <w:numId w:val="2"/>
        </w:numPr>
        <w:spacing w:after="40" w:before="40"/>
      </w:pPr>
      <w:r>
        <w:rPr>
          <w:rFonts w:ascii="Arial" w:cs="Arial" w:eastAsia="Arial" w:hAnsi="Arial"/>
          <w:color w:val="1A1A2E"/>
          <w:sz w:val="22"/>
          <w:szCs w:val="22"/>
        </w:rPr>
        <w:t xml:space="preserve">Authentication: Firebase Auth (email + password hash, Google SSO)</w:t>
      </w:r>
    </w:p>
    <w:p>
      <w:pPr>
        <w:pStyle w:val="ListParagraph"/>
        <w:numPr>
          <w:ilvl w:val="0"/>
          <w:numId w:val="2"/>
        </w:numPr>
        <w:spacing w:after="40" w:before="40"/>
      </w:pPr>
      <w:r>
        <w:rPr>
          <w:rFonts w:ascii="Arial" w:cs="Arial" w:eastAsia="Arial" w:hAnsi="Arial"/>
          <w:color w:val="1A1A2E"/>
          <w:sz w:val="22"/>
          <w:szCs w:val="22"/>
        </w:rPr>
        <w:t xml:space="preserve">Data in transit: HTTPS / TLS encryption on all communication; Data at rest: Google Cloud AES-256 encryption — consistent with GPS-001 Play Console declaration</w:t>
      </w:r>
    </w:p>
    <w:p>
      <w:pPr>
        <w:pStyle w:val="ListParagraph"/>
        <w:numPr>
          <w:ilvl w:val="0"/>
          <w:numId w:val="2"/>
        </w:numPr>
        <w:spacing w:after="40" w:before="40"/>
      </w:pPr>
      <w:r>
        <w:rPr/>
        <w:t>Access control: Firebase Console access may be granted to the Data Controller and to a developer acting under a data processing agreement; access is limited, logged, MFA/2FA protected and based on the need-to-know principle.</w:t>
      </w:r>
    </w:p>
    <w:p>
      <w:pPr>
        <w:pStyle w:val="ListParagraph"/>
        <w:numPr>
          <w:ilvl w:val="0"/>
          <w:numId w:val="2"/>
        </w:numPr>
        <w:spacing w:after="40" w:before="40"/>
      </w:pPr>
      <w:r>
        <w:rPr>
          <w:rFonts w:ascii="Arial" w:cs="Arial" w:eastAsia="Arial" w:hAnsi="Arial"/>
          <w:color w:val="1A1A2E"/>
          <w:sz w:val="22"/>
          <w:szCs w:val="22"/>
        </w:rPr>
        <w:t xml:space="preserve">Data breach: NAIH notification within 72 hours (GDPR Art. 33); template: INC-001</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14. Cookies and Tracking</w:t>
      </w:r>
    </w:p>
    <w:p>
      <w:pPr>
        <w:spacing w:after="60" w:before="0"/>
      </w:pPr>
      <w:r>
        <w:t xml:space="preserve"/>
      </w:r>
    </w:p>
    <w:p>
      <w:pPr>
        <w:spacing w:after="80" w:before="60"/>
        <w:jc w:val="both"/>
      </w:pPr>
      <w:r>
        <w:rPr>
          <w:rFonts w:ascii="Arial" w:cs="Arial" w:eastAsia="Arial" w:hAnsi="Arial"/>
          <w:color w:val="1A1A2E"/>
          <w:sz w:val="22"/>
          <w:szCs w:val="22"/>
        </w:rPr>
        <w:t xml:space="preserve">The cashleticsapp.com website is tracker-free — no Google Analytics, Meta Pixel, Google Tag Manager, or other cookies. No cookie banner is required.</w:t>
      </w:r>
    </w:p>
    <w:p>
      <w:pPr>
        <w:spacing w:after="60" w:before="0"/>
      </w:pPr>
      <w:r>
        <w:t xml:space="preserve"/>
      </w:r>
    </w:p>
    <w:p>
      <w:pPr>
        <w:spacing w:after="80" w:before="60"/>
        <w:jc w:val="both"/>
      </w:pPr>
      <w:r>
        <w:rPr>
          <w:rFonts w:ascii="Arial" w:cs="Arial" w:eastAsia="Arial" w:hAnsi="Arial"/>
          <w:color w:val="1A1A2E"/>
          <w:sz w:val="22"/>
          <w:szCs w:val="22"/>
        </w:rPr>
        <w:t xml:space="preserve">Within the application, Firebase Analytics uses app-level identifiers rather than traditional cookies. Detailed policy: CK-001-EN Cookie &amp; Tracking Policy.</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15. Changes to This Policy and Governing Language</w:t>
      </w:r>
    </w:p>
    <w:p>
      <w:pPr>
        <w:spacing w:after="60" w:before="0"/>
      </w:pPr>
      <w:r>
        <w:t xml:space="preserve"/>
      </w:r>
    </w:p>
    <w:p>
      <w:pPr>
        <w:spacing w:after="80" w:before="60"/>
        <w:jc w:val="both"/>
      </w:pPr>
      <w:r>
        <w:rPr>
          <w:rFonts w:ascii="Arial" w:cs="Arial" w:eastAsia="Arial" w:hAnsi="Arial"/>
          <w:color w:val="1A1A2E"/>
          <w:sz w:val="22"/>
          <w:szCs w:val="22"/>
        </w:rPr>
        <w:t xml:space="preserve">The Data Controller may update this Privacy Policy. For material changes, you will be notified at least 15 days in advance (email or in-app). The current version is always available at: https://cashleticsapp.com/legal.php?slug=adatkezeles&amp;lang=en</w:t>
      </w:r>
    </w:p>
    <w:p>
      <w:pPr>
        <w:spacing w:after="60" w:before="0"/>
      </w:pPr>
      <w:r>
        <w:t xml:space="preserve"/>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Privacy Policy (AT-001).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https://cashleticsapp.com/legal.php?slug=adatkezeles&amp;lang=hu</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Version History &amp; Change Log</w:t>
      </w:r>
    </w:p>
    <w:p>
      <w:pPr>
        <w:spacing w:after="60" w:before="0"/>
      </w:pPr>
      <w:r>
        <w:t xml:space="preserve"/>
      </w:r>
    </w:p>
    <w:p>
      <w:pPr>
        <w:spacing w:after="80" w:before="220"/>
      </w:pPr>
      <w:r>
        <w:rPr>
          <w:rFonts w:ascii="Arial" w:cs="Arial" w:eastAsia="Arial" w:hAnsi="Arial"/>
          <w:b/>
          <w:bCs/>
          <w:color w:val="1B6B4A"/>
          <w:sz w:val="22"/>
          <w:szCs w:val="22"/>
        </w:rPr>
        <w:t xml:space="preserve">A. Version history</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200"/>
        <w:gridCol w:w="1800"/>
        <w:gridCol w:w="4638"/>
        <w:gridCol w:w="2000"/>
      </w:tblGrid>
      <w:tr>
        <w:trPr>
          <w:tblHeader/>
        </w:trPr>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4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Change</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Approved by</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v1.5</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Initial release — final</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v1.7</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Sybell registered address corrected (DPA-001); DPA-002 clause 3.6 breach notification narrowed + non-excludable liability categories; DPA-003 liability cap (12 months’ fees, min. HUF 500,000); publication date updated</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v1.8</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Legal review approved (DPIA-001, LIA-001, PR-001; DPA-002 clause 3.6 + liability framework; DPA-003 liability cap). Signatures pending.</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bl>
    <w:p>
      <w:pPr>
        <w:spacing w:after="60" w:before="0"/>
      </w:pPr>
      <w:r>
        <w:t xml:space="preserve"/>
      </w:r>
    </w:p>
    <w:p>
      <w:pPr>
        <w:spacing w:after="80" w:before="220"/>
      </w:pPr>
      <w:r>
        <w:rPr>
          <w:rFonts w:ascii="Arial" w:cs="Arial" w:eastAsia="Arial" w:hAnsi="Arial"/>
          <w:b/>
          <w:bCs/>
          <w:color w:val="1B6B4A"/>
          <w:sz w:val="22"/>
          <w:szCs w:val="22"/>
        </w:rPr>
        <w:t xml:space="preserve">B. Changes from the March 2026 draft (synchronized with AT-001 HU)</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800"/>
        <w:gridCol w:w="1800"/>
        <w:gridCol w:w="3238"/>
        <w:gridCol w:w="2800"/>
      </w:tblGrid>
      <w:tr>
        <w:trPr>
          <w:tblHeader/>
        </w:trPr>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Item</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Draft</w:t>
            </w:r>
          </w:p>
        </w:tc>
        <w:tc>
          <w:tcPr>
            <w:tcW w:type="dxa" w:w="3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Final version</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Reason</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data section</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Section 6 — GDPR Art. 9</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Mandatory for special category data</w:t>
            </w:r>
          </w:p>
        </w:tc>
      </w:tr>
      <w:tr>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Banking notification</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Section 7</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Play Financial Data policy</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Firebase detail</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Generic</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Auth/Firestore/Analytics/CF breakdown (Sec. 5)</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Art. 28 transparency</w:t>
            </w:r>
          </w:p>
        </w:tc>
      </w:tr>
      <w:tr>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AdMob</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Separate processor row (Sec. 5)</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Independent data processor</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USA transfer</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Generic</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Itemised EU-US DPF table (Sec. 9)</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Art. 46</w:t>
            </w:r>
          </w:p>
        </w:tc>
      </w:tr>
      <w:tr>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Retention periods</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"Reasonable time"</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Itemised table (Sec. 4)</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5(1)(e)</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Leaderboard data</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Separate row (Sec. 4)</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Publicly shared personal data</w:t>
            </w:r>
          </w:p>
        </w:tc>
      </w:tr>
      <w:tr>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Consent storage</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Firestore (Sec. 4)</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GDPR Art. 7(1) accountability</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Prize draw data</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Separate ROPA row (Sec. 4)</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Processing purpose</w:t>
            </w:r>
          </w:p>
        </w:tc>
      </w:tr>
      <w:tr>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Profiling</w:t>
            </w:r>
          </w:p>
        </w:tc>
        <w:tc>
          <w:tcPr>
            <w:tcW w:type="dxa" w:w="1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GDPR Art. 22 risk (Sec. 10)</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DPIA-001 basis</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Governing language</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Cover + Section 15</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HU version prevails</w:t>
            </w:r>
          </w:p>
        </w:tc>
      </w:tr>
    </w:tbl>
    <w:p>
      <w:pPr>
        <w:spacing w:after="60" w:before="0"/>
      </w:pPr>
      <w:r>
        <w:t xml:space="preserve"/>
      </w:r>
    </w:p>
    <w:p>
      <w:pPr>
        <w:spacing w:after="80" w:before="220"/>
      </w:pPr>
      <w:r>
        <w:rPr>
          <w:rFonts w:ascii="Arial" w:cs="Arial" w:eastAsia="Arial" w:hAnsi="Arial"/>
          <w:b/>
          <w:bCs/>
          <w:color w:val="1B6B4A"/>
          <w:sz w:val="22"/>
          <w:szCs w:val="22"/>
        </w:rPr>
        <w:t xml:space="preserve">C. Signature block</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400"/>
        <w:gridCol w:w="2800"/>
        <w:gridCol w:w="2200"/>
        <w:gridCol w:w="2238"/>
      </w:tblGrid>
      <w:tr>
        <w:trPr>
          <w:tblHeader/>
        </w:trPr>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Role</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Name</w:t>
            </w:r>
          </w:p>
        </w:tc>
        <w:tc>
          <w:tcPr>
            <w:tcW w:type="dxa" w:w="2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2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Signature</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Prepared by</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Received / approved by</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r>
    </w:tbl>
    <w:p>
      <w:pPr>
        <w:spacing w:after="60" w:before="0"/>
      </w:pPr>
      <w:r>
        <w:t xml:space="preserve"/>
      </w:r>
    </w:p>
    <w:p>
      <w:pPr>
        <w:spacing w:after="80" w:before="60"/>
        <w:jc w:val="both"/>
      </w:pPr>
      <w:r>
        <w:rPr/>
        <w:t>Next review: 1 August 2027</w:t>
      </w:r>
    </w:p>
    <w:p>
      <w:r>
        <w:rPr>
          <w:b/>
          <w:color w:val="0070C0"/>
        </w:rPr>
        <w:t>v1.5a supplement — step-count permissions:</w:t>
      </w:r>
    </w:p>
    <w:p>
      <w:r>
        <w:rPr>
          <w:color w:val="0070C0"/>
        </w:rPr>
        <w:t>On Android, the application may request READ_HEALTH_DATA_HISTORY and ACTIVITY_RECOGNITION in addition to READ_STEPS. These permissions support historical aggregated step totals and Android activity/step-count handling. This does not involve processing GPS, routes, heart rate, workout type, or other health data.</w:t>
      </w:r>
    </w:p>
    <w:sectPr>
      <w:headerReference w:type="default" r:id="rId7"/>
      <w:footerReference w:type="default" r:id="rId8"/>
      <w:headerReference w:type="first" r:id="rId11"/>
      <w:footerReference w:type="first" r:id="rId12"/>
      <w:headerReference w:type="even" r:id="rId13"/>
      <w:footerReference w:type="even" r:id="rId14"/>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E6DA" w:sz="4" w:space="4"/>
      </w:pBdr>
      <w:tabs>
        <w:tab w:val="right" w:pos="9638"/>
      </w:tabs>
      <w:spacing w:before="80"/>
    </w:pPr>
    <w:r>
      <w:t>AT-001-EN | v1.8 | Effective: 1 August 2026 | Cashletics</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B4A" w:sz="8" w:space="4"/>
      </w:pBdr>
      <w:tabs>
        <w:tab w:val="center" w:pos="4819"/>
        <w:tab w:val="right" w:pos="9638"/>
      </w:tabs>
      <w:spacing w:after="8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400050"/>
                  </a:xfrm>
                  <a:prstGeom prst="rect">
                    <a:avLst/>
                  </a:prstGeom>
                </pic:spPr>
              </pic:pic>
            </a:graphicData>
          </a:graphic>
        </wp:inline>
      </w:drawing>
    </w:r>
    <w:r>
      <w:rPr>
        <w:rFonts w:ascii="Arial" w:cs="Arial" w:eastAsia="Arial" w:hAnsi="Arial"/>
        <w:color w:val="666666"/>
        <w:sz w:val="18"/>
        <w:szCs w:val="18"/>
      </w:rPr>
      <w:t xml:space="preserve">		Privacy Policy	AT-001-EN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ea643938b6e759f2d65543122dc109b20ed843f.jpg"/><Relationship Id="rId10"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0" Type="http://schemas.openxmlformats.org/officeDocument/2006/relationships/image" Target="media/5ea643938b6e759f2d65543122dc109b20ed843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2026-05-17T08:23:16.882Z</dcterms:created>
  <dcterms:modified xsi:type="dcterms:W3CDTF">2026-05-17T08:23:16.882Z</dcterms:modified>
</cp:coreProperties>
</file>

<file path=docProps/custom.xml><?xml version="1.0" encoding="utf-8"?>
<Properties xmlns="http://schemas.openxmlformats.org/officeDocument/2006/custom-properties" xmlns:vt="http://schemas.openxmlformats.org/officeDocument/2006/docPropsVTypes"/>
</file>