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400"/>
      </w:pPr>
      <w:r>
        <w:drawing>
          <wp:inline distT="0" distB="0" distL="0" distR="0">
            <wp:extent cx="1238250" cy="400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rFonts w:ascii="Arial" w:cs="Arial" w:eastAsia="Arial" w:hAnsi="Arial"/>
          <w:caps/>
          <w:color w:val="1B6B4A"/>
          <w:sz w:val="18"/>
          <w:szCs w:val="18"/>
        </w:rPr>
        <w:t xml:space="preserve">B blokk · Felhasználók felé, kötelező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A1A2E"/>
          <w:sz w:val="36"/>
          <w:szCs w:val="36"/>
        </w:rPr>
        <w:t xml:space="preserve">Adatkezelési Tájékoztató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Cashletics mobilalkalmazás — Magyar nyelvű változat</w:t>
      </w:r>
    </w:p>
    <w:p>
      <w:pPr>
        <w:spacing w:after="400"/>
      </w:pPr>
      <w:r>
        <w:rPr>
          <w:rFonts w:ascii="Courier New" w:cs="Courier New" w:eastAsia="Courier New" w:hAnsi="Courier New"/>
          <w:color w:val="666666"/>
          <w:sz w:val="20"/>
          <w:szCs w:val="20"/>
        </w:rPr>
        <w:t xml:space="preserve">AT-001</w:t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800"/>
        <w:gridCol w:w="6838"/>
      </w:tblGrid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Adatkezelő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Mózer Ferenc egyéni vállalkozó
6044 Kecskemét, Hetény-Belsőnyír 268/2.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Hatálybalépés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2026. augusztus 1.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Készítette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 | zsuzsanna@crespo.hu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Verzió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v1.8</w:t>
            </w:r>
            <w:r>
              <w:t xml:space="preserve"> | 2026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Kapcsolódó dok.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AT-001-EN (angol fordítás) — eltérés esetén a MAGYAR szöveg irányadó</w:t>
            </w:r>
          </w:p>
        </w:tc>
      </w:tr>
    </w:tbl>
    <w:p>
      <w:pPr>
        <w:spacing w:after="0"/>
      </w:pPr>
      <w:r>
        <w:br w:type="pag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1. Az adatkezelő adatai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Adatkezelő neve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Mózer Ferenc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Gazdálkodási forma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Egyéni vállalkozó (EV)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Székhely / levelezési cím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6044 Kecskemét, Hetény-Belsőnyír 268/2.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EV nyilvántartási szám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58145155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Adószám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41905517-1-23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Adatvédelmi kapcsolattartó e-mail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privacy@cashleticsapp.com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Support e-mail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support@cashleticsapp.com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Jogi e-mail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legal@cashleticsapp.com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Support telefon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+36 30 728 4422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Honlap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https://cashleticsapp.com/legal.php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Adatkérelem (webes)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https://cashleticsapp.com/adatkerelem.php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Fióktörlés (webes)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https://cashleticsapp.com/fiok-torlese.php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Válaszadási határidő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30 nap (GDPR 12. cikk)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2. A tájékoztató célja és az adatkezelés alapelvei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Ez a tájékoztató bemutatja, hogy a Cashletics alkalmazás használata során milyen személyes adatokat kezelünk, milyen célból, milyen jogalappal, meddig őrizzük meg azokat, és milyen jogok illetik meg az érintetteket.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adatkezelés alapelvei (GDPR 5. cikk):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Jogszerűség, tisztességesség és átláthatóság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Célhoz kötöttség — az adatokat csak meghatározott, egyértelmű célra használjuk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Adattakarékosság — csak az adott célhoz szükséges adatokat kezeljük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Pontosság és korlátozott tárolhatóság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Integritás, bizalmas jelleg és elszámoltathatóság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D4A017" w:sz="4"/>
          <w:left w:val="single" w:color="D4A017" w:sz="4"/>
          <w:bottom w:val="single" w:color="D4A017" w:sz="4"/>
          <w:right w:val="single" w:color="D4A017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D4A017" w:sz="4"/>
              <w:left w:val="single" w:color="D4A017" w:sz="4"/>
              <w:bottom w:val="single" w:color="D4A017" w:sz="4"/>
              <w:right w:val="single" w:color="D4A017" w:sz="4"/>
            </w:tcBorders>
            <w:shd w:fill="FEF6E4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D4A017"/>
                <w:sz w:val="20"/>
                <w:szCs w:val="20"/>
              </w:rPr>
              <w:t xml:space="preserve">Kérjük, hogy az alkalmazásba ne rögzítsen különleges adatot (pl. egészségügyi betegség, politikai meggyőződés) vagy harmadik személy személyes adatát, kivéve ha erre megfelelő jogalappal rendelkezik.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3. Adatkezelési jogalapok áttekintése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600"/>
        <w:gridCol w:w="1600"/>
        <w:gridCol w:w="5438"/>
      </w:tblGrid>
      <w:tr>
        <w:trPr>
          <w:tblHeader/>
        </w:trP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Jogalap</w:t>
            </w:r>
          </w:p>
        </w:tc>
        <w:tc>
          <w:tcPr>
            <w:tcW w:type="dxa" w:w="1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GDPR hivatkozás</w:t>
            </w:r>
          </w:p>
        </w:tc>
        <w:tc>
          <w:tcPr>
            <w:tcW w:type="dxa" w:w="5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Mikor alkalmazzuk</w:t>
            </w:r>
          </w:p>
        </w:tc>
      </w:tr>
      <w:t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Szerződés teljesítése</w:t>
            </w:r>
          </w:p>
        </w:tc>
        <w:tc>
          <w:tcPr>
            <w:tcW w:type="dxa" w:w="1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6(1)(b)</w:t>
            </w:r>
          </w:p>
        </w:tc>
        <w:tc>
          <w:tcPr>
            <w:tcW w:type="dxa" w:w="5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Fiók, pénzügyi bejegyzések, célok — az alkalmazás alapfunkcióihoz szükséges</w:t>
            </w:r>
          </w:p>
        </w:tc>
      </w:tr>
      <w:t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Hozzájárulás</w:t>
            </w:r>
          </w:p>
        </w:tc>
        <w:tc>
          <w:tcPr>
            <w:tcW w:type="dxa" w:w="1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6(1)(a)</w:t>
            </w:r>
          </w:p>
        </w:tc>
        <w:tc>
          <w:tcPr>
            <w:tcW w:type="dxa" w:w="5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Analytics, marketing értesítés, AdMob, ranglista, banki értesítés</w:t>
            </w:r>
          </w:p>
        </w:tc>
      </w:tr>
      <w:t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Explicit hozzájárulás</w:t>
            </w:r>
          </w:p>
        </w:tc>
        <w:tc>
          <w:tcPr>
            <w:tcW w:type="dxa" w:w="1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9(2)(a)</w:t>
            </w:r>
          </w:p>
        </w:tc>
        <w:tc>
          <w:tcPr>
            <w:tcW w:type="dxa" w:w="5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Egészségügyi adat (lépésszám) — különleges adat</w:t>
            </w:r>
          </w:p>
        </w:tc>
      </w:tr>
      <w:t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Jogos érdek</w:t>
            </w:r>
          </w:p>
        </w:tc>
        <w:tc>
          <w:tcPr>
            <w:tcW w:type="dxa" w:w="1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6(1)(f)</w:t>
            </w:r>
          </w:p>
        </w:tc>
        <w:tc>
          <w:tcPr>
            <w:tcW w:type="dxa" w:w="5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Hibajavítás, visszaélés-megelőzés, belső statisztika</w:t>
            </w:r>
          </w:p>
        </w:tc>
      </w:tr>
      <w:t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Jogi kötelezettség</w:t>
            </w:r>
          </w:p>
        </w:tc>
        <w:tc>
          <w:tcPr>
            <w:tcW w:type="dxa" w:w="1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6(1)(c)</w:t>
            </w:r>
          </w:p>
        </w:tc>
        <w:tc>
          <w:tcPr>
            <w:tcW w:type="dxa" w:w="5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Adózási, számviteli megőrzési kötelezettség (ha alkalmazó)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4. Kezelt adatok — tételes táblázat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alábbi tábla az összes adatkezelési tevékenységet tartalmazza. A tételes ROPA (GDPR 30. cikk) nyilvántartás: ROPA-001.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1900"/>
        <w:gridCol w:w="2538"/>
        <w:gridCol w:w="1800"/>
        <w:gridCol w:w="1400"/>
        <w:gridCol w:w="2000"/>
      </w:tblGrid>
      <w:tr>
        <w:trPr>
          <w:tblHeader/>
        </w:trPr>
        <w:tc>
          <w:tcPr>
            <w:tcW w:type="dxa" w:w="19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Adatkör</w:t>
            </w:r>
          </w:p>
        </w:tc>
        <w:tc>
          <w:tcPr>
            <w:tcW w:type="dxa" w:w="25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Konkrét adatok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Cél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Jogalap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Megőrzési idő</w:t>
            </w:r>
          </w:p>
        </w:tc>
      </w:tr>
      <w:tr>
        <w:tc>
          <w:tcPr>
            <w:tcW w:type="dxa" w:w="19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Fiókadatok</w:t>
            </w:r>
          </w:p>
        </w:tc>
        <w:tc>
          <w:tcPr>
            <w:tcW w:type="dxa" w:w="25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E-mail cím, felhasználónév, avatár, jelszó (hash), Google UID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Regisztráció, azonosítás, biztonság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6(1)(b)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Fiók fennállásáig + 30 nap</w:t>
            </w:r>
          </w:p>
        </w:tc>
      </w:tr>
      <w:tr>
        <w:tc>
          <w:tcPr>
            <w:tcW w:type="dxa" w:w="19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Profiladatok</w:t>
            </w:r>
          </w:p>
        </w:tc>
        <w:tc>
          <w:tcPr>
            <w:tcW w:type="dxa" w:w="25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Ország, életkor, nem, nyelv, pénznem, választott téma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Személyre szabás, alkalmazás működés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6(1)(b)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Fiók fennállásáig</w:t>
            </w:r>
          </w:p>
        </w:tc>
      </w:tr>
      <w:tr>
        <w:tc>
          <w:tcPr>
            <w:tcW w:type="dxa" w:w="19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Pénzügyi bejegyzések</w:t>
            </w:r>
          </w:p>
        </w:tc>
        <w:tc>
          <w:tcPr>
            <w:tcW w:type="dxa" w:w="25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Bevétel/kiadás összeg, kategória, dátum, megjegyzés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Alkalmazás alapfunkció, statisztika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6(1)(b)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Fiók törléséig + 30 nap</w:t>
            </w:r>
          </w:p>
        </w:tc>
      </w:tr>
      <w:tr>
        <w:tc>
          <w:tcPr>
            <w:tcW w:type="dxa" w:w="19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Megtakarítási célok</w:t>
            </w:r>
          </w:p>
        </w:tc>
        <w:tc>
          <w:tcPr>
            <w:tcW w:type="dxa" w:w="25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Cél neve, összeg, határidő, státusz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Alkalmazás alapfunkció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6(1)(b)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Fiók törléséig + 30 nap</w:t>
            </w:r>
          </w:p>
        </w:tc>
      </w:tr>
      <w:tr>
        <w:tc>
          <w:tcPr>
            <w:tcW w:type="dxa" w:w="19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Pontok / jelvények</w:t>
            </w:r>
          </w:p>
        </w:tc>
        <w:tc>
          <w:tcPr>
            <w:tcW w:type="dxa" w:w="25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XP, CP, érmék, szintek, jelvények, sorozat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Játékosítás, motiváció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6(1)(b)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Fiók törléséig</w:t>
            </w:r>
          </w:p>
        </w:tc>
      </w:tr>
      <w:tr>
        <w:tc>
          <w:tcPr>
            <w:tcW w:type="dxa" w:w="19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Ranglista adatok</w:t>
            </w:r>
          </w:p>
        </w:tc>
        <w:tc>
          <w:tcPr>
            <w:tcW w:type="dxa" w:w="25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Felhasználónév, avatár, pontszám — nyilvános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Közösségi verseny, motiváció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6(1)(a) hozzájárulás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Hozzájárulás visszavonásáig</w:t>
            </w:r>
          </w:p>
        </w:tc>
      </w:tr>
      <w:tr>
        <w:tc>
          <w:tcPr>
            <w:tcW w:type="dxa" w:w="19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Consent adatok</w:t>
            </w:r>
          </w:p>
        </w:tc>
        <w:tc>
          <w:tcPr>
            <w:tcW w:type="dxa" w:w="25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Ki mikor mit fogadott el (időbélyeg, verzió)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7(1) bizonyíthatóság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6(1)(c) jogi kötel.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Fiók törlése + 5 év</w:t>
            </w:r>
          </w:p>
        </w:tc>
      </w:tr>
      <w:tr>
        <w:tc>
          <w:tcPr>
            <w:tcW w:type="dxa" w:w="19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Nyereményjáték adatok</w:t>
            </w:r>
          </w:p>
        </w:tc>
        <w:tc>
          <w:tcPr>
            <w:tcW w:type="dxa" w:w="25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Résztétel, sorsolás, nyertes azonosítás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Sorsolás lefolytatása, nyújtás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6(1)(b)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Nyeremény átadása + 5 év</w:t>
            </w:r>
          </w:p>
        </w:tc>
      </w:tr>
      <w:tr>
        <w:tc>
          <w:tcPr>
            <w:tcW w:type="dxa" w:w="19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Egészségügyi adat</w:t>
            </w:r>
          </w:p>
        </w:tc>
        <w:tc>
          <w:tcPr>
            <w:tcW w:type="dxa" w:w="25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Lépésszám (napi aggregált)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Aktivitás követés, jutalom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9(2)(a) explicit hozzáj.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Hozzájárulás visszavonásáig / 90 nap</w:t>
            </w:r>
          </w:p>
        </w:tc>
      </w:tr>
      <w:tr>
        <w:tc>
          <w:tcPr>
            <w:tcW w:type="dxa" w:w="19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Banki értesítés szöveg</w:t>
            </w:r>
          </w:p>
        </w:tc>
        <w:tc>
          <w:tcPr>
            <w:tcW w:type="dxa" w:w="25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Értesítés szövege (feldolgozás után törölve)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Kiadás felismerés (opcionális)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6(1)(a) hozzájárulás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Feldolgozás után azonnal törölve</w:t>
            </w:r>
          </w:p>
        </w:tc>
      </w:tr>
      <w:tr>
        <w:tc>
          <w:tcPr>
            <w:tcW w:type="dxa" w:w="19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Analitikai adatok</w:t>
            </w:r>
          </w:p>
        </w:tc>
        <w:tc>
          <w:tcPr>
            <w:tcW w:type="dxa" w:w="25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Használati események, képernyő idő, verzió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Hibajavítás, fejlesztés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6(1)(a) hozzájárulás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90 nap (Firebase Analytics alapértelmezett)</w:t>
            </w:r>
          </w:p>
        </w:tc>
      </w:tr>
      <w:tr>
        <w:tc>
          <w:tcPr>
            <w:tcW w:type="dxa" w:w="19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Reklám adatok (AdMob)</w:t>
            </w:r>
          </w:p>
        </w:tc>
        <w:tc>
          <w:tcPr>
            <w:tcW w:type="dxa" w:w="25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Reklám azonosító, Android ID, IP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Reklámcélú pers.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6(1)(a) hozzájárulás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AdMob saját szabályzata szerint</w:t>
            </w:r>
          </w:p>
        </w:tc>
      </w:tr>
      <w:tr>
        <w:tc>
          <w:tcPr>
            <w:tcW w:type="dxa" w:w="19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Support kommunikáció</w:t>
            </w:r>
          </w:p>
        </w:tc>
        <w:tc>
          <w:tcPr>
            <w:tcW w:type="dxa" w:w="25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E-mail levelezés tartalma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Ügyfélszolgálat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6(1)(b) / 6(1)(f)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3 év</w:t>
            </w:r>
          </w:p>
        </w:tc>
      </w:tr>
      <w:tr>
        <w:tc>
          <w:tcPr>
            <w:tcW w:type="dxa" w:w="19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Technikai / diagn.</w:t>
            </w:r>
          </w:p>
        </w:tc>
        <w:tc>
          <w:tcPr>
            <w:tcW w:type="dxa" w:w="25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Eszköz típus, OS verzió, alkalmazás verzió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Hibajavítás, biztonság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6(1)(f) jogos érdek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90 nap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5. Adatfeldolgozók és Firebase adatfolyam-térkép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alkalmazás az alábbi Firebase (Google LLC) szolgáltatásokat és egyéb adatfeldolgozókat veszi igénybe. Minden adatfeldolgozóval írásbeli adatfeldolgozói szerződés (DPA) kötendő / kötött (GDPR 28. cikk). Tételes nyilvántartás: DPA-001.</w:t>
      </w:r>
    </w:p>
    <w:p>
      <w:pPr>
        <w:spacing w:after="60" w:before="0"/>
      </w:pPr>
      <w:r>
        <w:t xml:space="preserve"/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5.1 Firebase aktív szolgáltatások</w:t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000"/>
        <w:gridCol w:w="1600"/>
        <w:gridCol w:w="3038"/>
        <w:gridCol w:w="1600"/>
        <w:gridCol w:w="1400"/>
      </w:tblGrid>
      <w:tr>
        <w:trPr>
          <w:tblHeader/>
        </w:trP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Szolgáltatás</w:t>
            </w:r>
          </w:p>
        </w:tc>
        <w:tc>
          <w:tcPr>
            <w:tcW w:type="dxa" w:w="1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Google LLC egység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Kezelt adatok</w:t>
            </w:r>
          </w:p>
        </w:tc>
        <w:tc>
          <w:tcPr>
            <w:tcW w:type="dxa" w:w="1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Szerver helye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Transzfer alap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Firebase Auth</w:t>
            </w:r>
          </w:p>
        </w:tc>
        <w:tc>
          <w:tcPr>
            <w:tcW w:type="dxa" w:w="1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E-mail, Google UID, jelszó (hash), belépési idő</w:t>
            </w:r>
          </w:p>
        </w:tc>
        <w:tc>
          <w:tcPr>
            <w:tcW w:type="dxa" w:w="1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USA / EU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EU-US DPF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Cloud Firestore</w:t>
            </w:r>
          </w:p>
        </w:tc>
        <w:tc>
          <w:tcPr>
            <w:tcW w:type="dxa" w:w="1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Minden felhasználói adat (profil, tranzakciók, pontok, consent)</w:t>
            </w:r>
          </w:p>
        </w:tc>
        <w:tc>
          <w:tcPr>
            <w:tcW w:type="dxa" w:w="1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USA / EU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EU-US DPF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Firebase Analytics</w:t>
            </w:r>
          </w:p>
        </w:tc>
        <w:tc>
          <w:tcPr>
            <w:tcW w:type="dxa" w:w="1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Használati események, munkamenet adatok, eszköz infó</w:t>
            </w:r>
          </w:p>
        </w:tc>
        <w:tc>
          <w:tcPr>
            <w:tcW w:type="dxa" w:w="1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USA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EU-US DPF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Cloud Functions</w:t>
            </w:r>
          </w:p>
        </w:tc>
        <w:tc>
          <w:tcPr>
            <w:tcW w:type="dxa" w:w="1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Szerver oldali feldolgozás (jutalmak, sorsolás)</w:t>
            </w:r>
          </w:p>
        </w:tc>
        <w:tc>
          <w:tcPr>
            <w:tcW w:type="dxa" w:w="1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USA / EU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EU-US DPF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5.2 Egyéb adatfeldolgozók</w:t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200"/>
        <w:gridCol w:w="1400"/>
        <w:gridCol w:w="2038"/>
        <w:gridCol w:w="2200"/>
        <w:gridCol w:w="1800"/>
      </w:tblGrid>
      <w:tr>
        <w:trPr>
          <w:tblHeader/>
        </w:trPr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Adatfeldolgozó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Székhely</w:t>
            </w:r>
          </w:p>
        </w:tc>
        <w:tc>
          <w:tcPr>
            <w:tcW w:type="dxa" w:w="2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Szerep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Kezelt adatok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Transzfer alap</w:t>
            </w:r>
          </w:p>
        </w:tc>
      </w:tr>
      <w:tr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/ AdMob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USA</w:t>
            </w:r>
          </w:p>
        </w:tc>
        <w:tc>
          <w:tcPr>
            <w:tcW w:type="dxa" w:w="2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Reklám megjelenítés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Android ID, IP, reklámkövetkező adat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EU-US DPF</w:t>
            </w:r>
          </w:p>
        </w:tc>
      </w:tr>
      <w:tr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/ Play Store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USA</w:t>
            </w:r>
          </w:p>
        </w:tc>
        <w:tc>
          <w:tcPr>
            <w:tcW w:type="dxa" w:w="2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Előfizetés, vásárlás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Tranzakció metaadat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EU-US DPF</w:t>
            </w:r>
          </w:p>
        </w:tc>
      </w:tr>
      <w:tr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Sybell Informatika Kft.</w:t>
            </w:r>
          </w:p>
        </w:tc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Budapest, HU</w:t>
            </w:r>
          </w:p>
        </w:tc>
        <w:tc>
          <w:tcPr>
            <w:tcW w:type="dxa" w:w="2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Webáruhely, e-mail (support)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Support levelezés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EU — nincs USA-transzfer</w:t>
            </w:r>
          </w:p>
        </w:tc>
      </w:tr>
    </w:tbl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D4A017" w:sz="4"/>
          <w:left w:val="single" w:color="D4A017" w:sz="4"/>
          <w:bottom w:val="single" w:color="D4A017" w:sz="4"/>
          <w:right w:val="single" w:color="D4A017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D4A017" w:sz="4"/>
              <w:left w:val="single" w:color="D4A017" w:sz="4"/>
              <w:bottom w:val="single" w:color="D4A017" w:sz="4"/>
              <w:right w:val="single" w:color="D4A017" w:sz="4"/>
            </w:tcBorders>
            <w:shd w:fill="FEF6E4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D4A017"/>
                <w:sz w:val="20"/>
                <w:szCs w:val="20"/>
              </w:rPr>
              <w:t xml:space="preserve">A Masterpont Kft. (masterpont.hu) NEM adatfeldolgozó — nem fér hozzá semmilyen felhasználói adathoz.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5.3 Firebase adatfolyam-térkép (sematikus)</w:t>
      </w:r>
    </w:p>
    <w:p>
      <w:pPr>
        <w:spacing w:after="80" w:before="60"/>
        <w:jc w:val="both"/>
      </w:pPr>
      <w:r>
        <w:rPr>
          <w:rFonts w:ascii="Arial" w:cs="Arial" w:eastAsia="Arial" w:hAnsi="Arial"/>
          <w:i/>
          <w:iCs/>
          <w:color w:val="1A1A2E"/>
          <w:sz w:val="22"/>
          <w:szCs w:val="22"/>
        </w:rPr>
        <w:t xml:space="preserve">Telefon → Firebase Auth (hitelesítés) → Cloud Firestore (adattárolás) → Firebase Analytics (analitika) → Cloud Functions (szerver feldolgozás) → AdMob (reklám) — minden USA-átvitel EU-US DPF alapon.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6. Egészségügyi adat — lépésszám (GDPR 9. cikk)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D4A017" w:sz="4"/>
          <w:left w:val="single" w:color="D4A017" w:sz="4"/>
          <w:bottom w:val="single" w:color="D4A017" w:sz="4"/>
          <w:right w:val="single" w:color="D4A017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D4A017" w:sz="4"/>
              <w:left w:val="single" w:color="D4A017" w:sz="4"/>
              <w:bottom w:val="single" w:color="D4A017" w:sz="4"/>
              <w:right w:val="single" w:color="D4A017" w:sz="4"/>
            </w:tcBorders>
            <w:shd w:fill="FEF6E4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D4A017"/>
                <w:sz w:val="20"/>
                <w:szCs w:val="20"/>
              </w:rPr>
              <w:t xml:space="preserve">⚠️ KÜLÖNLEGES ADAT — GDPR 9. CIKK | A lépésszám egészségügyi adatnak minősül. Kezelése kizárólag explicit hozzájárulással lehetséges (GDPR 9(2)(a)).</w:t>
            </w:r>
          </w:p>
        </w:tc>
      </w:tr>
    </w:tbl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800"/>
        <w:gridCol w:w="3419"/>
        <w:gridCol w:w="3419"/>
      </w:tblGrid>
      <w:tr>
        <w:trPr>
          <w:tblHeader/>
        </w:trP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Paraméter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Android (Health Connect)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iOS (HealthKit)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 forrása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Health Connect API vagy telefon szenzor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iOS / HealthKit jelenleg nem aktív; iOS-verzió indulása előtt frissítendő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Engedély típusa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READ_STEPS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iOS / HealthKit jelenleg nem aktív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Kezelt adatok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Napi aggregált lépésszám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iOS / HealthKit jelenleg nem aktív; iOS-verzió előtt frissítendő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Jogalap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9(2)(a) explicit hozzájárulás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9(2)(a) explicit hozzájárulás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Tárolás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Firestore (aggregált, nem nyers)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Firestore (aggregált, nem nyers)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Megőrzési idő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Hozzájárulás visszavonásáig / max 90 nap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iOS / HealthKit jelenleg nem aktív; iOS-verzió előtt frissítendő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Visszavonható?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Igen — bármikor, alkalmazás beállításokból</w:t>
            </w:r>
          </w:p>
        </w:tc>
        <w:tc>
          <w:tcPr>
            <w:tcW w:type="dxa" w:w="3419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Igen — bármikor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egészségügyi adat (lépésszám) KIZÁRÓLAG: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aktivitás követésre és játékos jutalom meghatározására használatos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NEM kerül továbbításra AdMob-hoz, harmadik fél hirdetőhöz, vagy bármilyen külső szerverre (a Firestore EU-US DPF alapján tárolja)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NEM jelenik meg nyilvános ranglistán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NEM használható profilozási vagy biztosítási döntésekhez (Google Play Health Policy)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Részletes hozzájárulási szöveg és feltételek: HE-001 Egészségügyi adat nyilatkozat.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7. Banki értesítés-olvasás adatkezelése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alkalmazás opcionálisan — kizárólag a felhasználó explicit hozzájárulásával — banki push értesítések szövegéből segít kiadások felismerésében.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rPr>
          <w:tblHeader/>
        </w:trP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Paraméter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Érték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Kezelt adat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Értesítés szövege (push notification content)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Az app HOZZÁFÉR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Értesítés szövegéhez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Az app NEM FÉR HOZZÁ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Bankfiókhoz, számlaszámhoz, egyenleghez, PIN-hez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Cél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Kiadás automatikus felismerése szövegből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Feldolgozás helye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Lokálisan az eszközön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Megőrzés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Az értesítés szövege feldolgozás után azonnal törölve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Jogalap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6(1)(a) hozzájárulás (BH-001)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Visszavonható?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Igen — bármikor, alkalmazás beállításokból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Play Store policy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Play Financial Data policy kompatibilis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Részletes feltételek: BH-001 Banki értesítés hozzájárulás.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8. Push értesítések és marketing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3200"/>
        <w:gridCol w:w="3200"/>
        <w:gridCol w:w="3238"/>
      </w:tblGrid>
      <w:tr>
        <w:trPr>
          <w:tblHeader/>
        </w:trP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Értesítés típusa</w:t>
            </w:r>
          </w:p>
        </w:tc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Jogalap</w:t>
            </w:r>
          </w:p>
        </w:tc>
        <w:tc>
          <w:tcPr>
            <w:tcW w:type="dxa" w:w="3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Visszavonható?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Tranzakciós / service értesítés (pl. jutalom elérhető)</w:t>
            </w:r>
          </w:p>
        </w:tc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6(1)(b) szerződés</w:t>
            </w:r>
          </w:p>
        </w:tc>
        <w:tc>
          <w:tcPr>
            <w:tcW w:type="dxa" w:w="3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Korlátozható (de nem kapcsolható ki teljesen)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Motivációs / napireminder</w:t>
            </w:r>
          </w:p>
        </w:tc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6(1)(a) hozzájárulás</w:t>
            </w:r>
          </w:p>
        </w:tc>
        <w:tc>
          <w:tcPr>
            <w:tcW w:type="dxa" w:w="3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Igen — bármikor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Marketing / promóció</w:t>
            </w:r>
          </w:p>
        </w:tc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6(1)(a) hozzájárulás</w:t>
            </w:r>
          </w:p>
        </w:tc>
        <w:tc>
          <w:tcPr>
            <w:tcW w:type="dxa" w:w="3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Igen — bármikor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9. Harmadik országba irányuló adattovábbítás (USA-transzfer)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cashleticsapp.com webhely és e-mail infrastruktúra kizárólag EU-ban (Sybell Informatika Kft., Budapest) működik — nem történik USA-transzfer az e-mail során. Az alkalmazás Firebase és AdMob használata során az alábbi adattovábbítások történnek USA-ba, kizárólag az EU–US Adatvédelmi Keretrendszer (EU-US DPF) alapján: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600"/>
        <w:gridCol w:w="2638"/>
        <w:gridCol w:w="1800"/>
        <w:gridCol w:w="2600"/>
      </w:tblGrid>
      <w:tr>
        <w:trPr>
          <w:tblHeader/>
        </w:trP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Adatfeldolgozó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Továbbított adatok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Transzfer alap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DPF tanúsítvány</w:t>
            </w:r>
          </w:p>
        </w:tc>
      </w:tr>
      <w:t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/ Firebase Auth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Hitelesítési adatok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EU-US DPF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— tanúsított</w:t>
            </w:r>
          </w:p>
        </w:tc>
      </w:tr>
      <w:t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/ Cloud Firestore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Minden felhasználói adat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EU-US DPF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— tanúsított</w:t>
            </w:r>
          </w:p>
        </w:tc>
      </w:tr>
      <w:t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/ Firebase Analytics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Használati analitika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EU-US DPF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— tanúsított</w:t>
            </w:r>
          </w:p>
        </w:tc>
      </w:tr>
      <w:t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/ Cloud Functions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Szerver feldolgozás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EU-US DPF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— tanúsított</w:t>
            </w:r>
          </w:p>
        </w:tc>
      </w:tr>
      <w:t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/ AdMob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Reklámcélú adatok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EU-US DPF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— tanúsított</w:t>
            </w:r>
          </w:p>
        </w:tc>
      </w:tr>
      <w:t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/ Play Store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Előfizetés metaadatok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EU-US DPF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— tanúsított</w:t>
            </w:r>
          </w:p>
        </w:tc>
      </w:tr>
      <w:t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Sybell Informatika Kft. (e-mail)</w:t>
            </w:r>
          </w:p>
        </w:tc>
        <w:tc>
          <w:tcPr>
            <w:tcW w:type="dxa" w:w="2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Support kommunikáció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EU — nincs USA-transzfer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—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EU-US DPF keretrendszer elérhető: https://www.dataprivacyframework.gov/</w:t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666666"/>
          <w:sz w:val="18"/>
          <w:szCs w:val="18"/>
          <w:i/>
          <w:iCs/>
        </w:rPr>
        <w:t xml:space="preserve">Megjegyzés: Az EU-US DPF esetleges érvénytelenítése esetén az adattovábbítás jogalapja a Google LLC által alkalmazott Standard Contractual Clauses (SCC), az Európai Bizottság 2021/914/EU végrehajtási határozata alapján — ez a Google Cloud adatfeldolgozói megállapodás (DPA) részeként automatikusan alkalmazandó.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10. Profilozás és automatizált döntéshozatal (GDPR 22. cikk)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alkalmazás pénzügyi, aktivitás és játékosítási adatokból összetett felhasználói profilt alakíthat ki (pénzügyi + egészségügyi + viselkedési adatok kombinációja). Ez profilozási kockázatot hordoz.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alkalmazás KIZÁRÓLAG a következő célokra használ profilozást: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Személyre szabott jutalmak és kihívások megjelenítése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Ranglista pontszám számítása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Tiltott profilozási célok (Google Play Health Policy és GDPR 22. cikk alapján):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Hitel-, biztosítási, foglalkoztatási döntések automatikus meghozatala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Egészségügyi adat reklámcélú használata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Harmadik félnek történő értesítés nélküli továbbítás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Részletes adatvédelmi hatásvizsgálat: DPIA-001.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11. Az érintett jogai (GDPR 15–22. cikk)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000"/>
        <w:gridCol w:w="1200"/>
        <w:gridCol w:w="3238"/>
        <w:gridCol w:w="3200"/>
      </w:tblGrid>
      <w:tr>
        <w:trPr>
          <w:tblHeader/>
        </w:trP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Jog</w:t>
            </w:r>
          </w:p>
        </w:tc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GDPR cikk</w:t>
            </w:r>
          </w:p>
        </w:tc>
        <w:tc>
          <w:tcPr>
            <w:tcW w:type="dxa" w:w="3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Tartalom</w:t>
            </w:r>
          </w:p>
        </w:tc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Gyakorlás módja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Hozzáférés joga</w:t>
            </w:r>
          </w:p>
        </w:tc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15. cikk</w:t>
            </w:r>
          </w:p>
        </w:tc>
        <w:tc>
          <w:tcPr>
            <w:tcW w:type="dxa" w:w="3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Tájékoztatás a kezelt adatokról</w:t>
            </w:r>
          </w:p>
        </w:tc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privacy@cashleticsapp.com vagy adatkerelem.php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Helyesbítés joga</w:t>
            </w:r>
          </w:p>
        </w:tc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16. cikk</w:t>
            </w:r>
          </w:p>
        </w:tc>
        <w:tc>
          <w:tcPr>
            <w:tcW w:type="dxa" w:w="3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Pontatlan adat javítása</w:t>
            </w:r>
          </w:p>
        </w:tc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Alkalmazás profil szerkesztés vagy e-mail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Törlés joga</w:t>
            </w:r>
          </w:p>
        </w:tc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17. cikk</w:t>
            </w:r>
          </w:p>
        </w:tc>
        <w:tc>
          <w:tcPr>
            <w:tcW w:type="dxa" w:w="3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Adatok törlése („elfeledtetés”)</w:t>
            </w:r>
          </w:p>
        </w:tc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fiok-torlese.php vagy privacy@cashleticsapp.com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Korlátozás joga</w:t>
            </w:r>
          </w:p>
        </w:tc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18. cikk</w:t>
            </w:r>
          </w:p>
        </w:tc>
        <w:tc>
          <w:tcPr>
            <w:tcW w:type="dxa" w:w="3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Adatkezelés korlátozásának kérése</w:t>
            </w:r>
          </w:p>
        </w:tc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privacy@cashleticsapp.com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Hordozhatóság joga</w:t>
            </w:r>
          </w:p>
        </w:tc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20. cikk</w:t>
            </w:r>
          </w:p>
        </w:tc>
        <w:tc>
          <w:tcPr>
            <w:tcW w:type="dxa" w:w="3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Adatok géppel olvasható formátumban</w:t>
            </w:r>
          </w:p>
        </w:tc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privacy@cashleticsapp.com (JSON export)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Tiltakozás joga</w:t>
            </w:r>
          </w:p>
        </w:tc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21. cikk</w:t>
            </w:r>
          </w:p>
        </w:tc>
        <w:tc>
          <w:tcPr>
            <w:tcW w:type="dxa" w:w="3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Jogos érdek alapú kezelés ellen</w:t>
            </w:r>
          </w:p>
        </w:tc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privacy@cashleticsapp.com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Hozzájárulás visszavonása</w:t>
            </w:r>
          </w:p>
        </w:tc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7(3) cikk</w:t>
            </w:r>
          </w:p>
        </w:tc>
        <w:tc>
          <w:tcPr>
            <w:tcW w:type="dxa" w:w="3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Bármikor, visszaható erő nélkül</w:t>
            </w:r>
          </w:p>
        </w:tc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Alkalmazás beállítások vagy e-mail</w:t>
            </w:r>
          </w:p>
        </w:tc>
      </w:tr>
      <w:tr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Panasz jog</w:t>
            </w:r>
          </w:p>
        </w:tc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77. cikk</w:t>
            </w:r>
          </w:p>
        </w:tc>
        <w:tc>
          <w:tcPr>
            <w:tcW w:type="dxa" w:w="3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NAIH-hoz fordulhat</w:t>
            </w:r>
          </w:p>
        </w:tc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NAIH: www.naih.hu | ugyfelszolgalat@naih.hu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Válaszadási határidő: 30 nap (GDPR 12. cikk). Indokolt esetben 60 napig meghosszabbítható, erről az érintettet értesítjük. Az érintetti kérelmek kezelésének részletes folyamata: EJ-001.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12. Gyermekek adatainak védelme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alkalmazás 16 év alatti személyek számára NEM elérhető (GDPR 8. cikk, Google Play Families Policy). Amennyiben tudomásunkra jut, hogy 16 év alatti személy adatait kezeljük, azokat haladéktalanul töröljük, és a fiókot felfüggesztjük. Ilyen esetet kérjük jelezni: privacy@cashleticsapp.com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13. Adatbiztonság</w:t>
      </w:r>
    </w:p>
    <w:p>
      <w:pPr>
        <w:spacing w:after="60" w:before="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Firebase biztonsági szabályok (Firestore Security Rules) — felhasználónként elkülönített adathozzáférés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Hitelesítés: Firebase Auth (e-mail + jelszó hash, Google SSO)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Adatforgalom: HTTPS / TLS titkosítás minden kommunikációban; Tárolás: Google Cloud AES-256 titkosítás (encryption at rest) — összhangban a GPS-001 Play Console deklarációval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/>
        <w:t>Hozzáférés korlátozás: Firebase Console hozzáféréssel az adatkezelő, valamint az adatkezelővel adatfeldolgozói szerződés alapján eljáró fejlesztő rendelkezhet; a hozzáférés jogosultságkorlátozással, naplózással, MFA/2FA védelemmel és a szükségesség elve szerint történik.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Adatvédelmi incidens esetén: 72 órán belül NAIH-bejelentés (GDPR 33. cikk); sablon: INC-001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14. Sütik és követés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cashleticsapp.com weboldal tracker-mentes — nincs Google Analytics, Meta Pixel, Google Tag Manager vagy egyéb cookie. Cookie-banner nem szükséges.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alkalmazáson belül a Firebase Analytics nem hagyományos sütiket, hanem app-szintű azonosítókat használ. Részletes szabályzat: CK-001 Cookie &amp; Tracking Policy.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15. A tájékoztató módosítása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adatkezelő jogosult jelen tájékoztatót módosítani. Lényeges változásról a felhasználót legalább 15 nappal korábban értesíti (e-mail vagy alkalmazás). A hatályos verzió mindig elérhető: https://cashleticsapp.com/legal.php?slug=adatkezeles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Verziókezelés és változáskövetés</w:t>
      </w:r>
    </w:p>
    <w:p>
      <w:pPr>
        <w:spacing w:after="60" w:before="0"/>
      </w:pPr>
      <w:r>
        <w:t xml:space="preserve"/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A. Verziótörténet</w:t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1200"/>
        <w:gridCol w:w="1800"/>
        <w:gridCol w:w="4638"/>
        <w:gridCol w:w="2000"/>
      </w:tblGrid>
      <w:tr>
        <w:trPr>
          <w:tblHeader/>
        </w:trP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Verzió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Dátum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Változtatás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Jóváhagyta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v1.5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2026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Első kiadás — végleges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v1.7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2026. augusztus 1.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Sybell székhely javítása (DPA-001); DPA-002 3.6 incidens-bejelentés szűkítése és nem korlátozható felelősségi kategóriák; DPA-003 felelősségkorlátozás (12 havi díj, min. 500.000 Ft); publikálási dátum frissítése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v1.7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2026. augusztus 1.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Sybell székhely javítása (DPA-001); DPA-002 3.6 incidens-bejelentés szűkítése + nem korlátozható felelősségi kategóriák; DPA-003 felelősségkorlátozás (12 havi díj, min. 500.000 Ft); publikálási dátum frissítése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v1.8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2026. augusztus 1.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Zsuzsa jóváhagyása átvezetve (DPIA-001, LIA-001, PR-001 lektorálva; DPA-002 3.6 + felelősségi keret; DPA-003 felelősségkorlátozás). Aláírások folyamatban.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B. Változáskövetés — eltérések a 2026.03.16-i tervezethez képest</w:t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1800"/>
        <w:gridCol w:w="1800"/>
        <w:gridCol w:w="3438"/>
        <w:gridCol w:w="2600"/>
      </w:tblGrid>
      <w:tr>
        <w:trPr>
          <w:tblHeader/>
        </w:trPr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Pont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Tervezet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Végleges verzió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Indok</w:t>
            </w:r>
          </w:p>
        </w:tc>
      </w:tr>
      <w:tr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Egészségügyi adat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Hiányzott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Külön fejezet (6. pont)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9. cikk kötelező</w:t>
            </w:r>
          </w:p>
        </w:tc>
      </w:tr>
      <w:tr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Banki értesítés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Hiányzott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Külön fejezet (7. pont)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Play Financial Data policy</w:t>
            </w:r>
          </w:p>
        </w:tc>
      </w:tr>
      <w:tr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Firebase tételes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Általános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Auth/Firestore/Analytics/CF bontva (5. pont)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28. cikk, átláthatóság</w:t>
            </w:r>
          </w:p>
        </w:tc>
      </w:tr>
      <w:tr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AdMob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Hiányzott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Önálló adatfeldolgozó (5. pont)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Külön adatfeldolgozó</w:t>
            </w:r>
          </w:p>
        </w:tc>
      </w:tr>
      <w:tr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USA-transzfer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Általános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Tételes bontás EU-US DPF (9. pont)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46. cikk</w:t>
            </w:r>
          </w:p>
        </w:tc>
      </w:tr>
      <w:tr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Megőrzési idők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„ésszerű ideig”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Tételes tábla (4. pont)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5(1)(e)</w:t>
            </w:r>
          </w:p>
        </w:tc>
      </w:tr>
      <w:tr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Ranglista adat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Hiányzott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Külön bek. (4. pont)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Nyilvános személyes adat</w:t>
            </w:r>
          </w:p>
        </w:tc>
      </w:tr>
      <w:tr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Consent tárolás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Hiányzott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Firestore-ban (4. pont)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7(1) bizonyíthatóság</w:t>
            </w:r>
          </w:p>
        </w:tc>
      </w:tr>
      <w:tr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Nyereményjáték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Hiányzott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Külön ROPA-sor (4. pont)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Adatkezelési cél</w:t>
            </w:r>
          </w:p>
        </w:tc>
      </w:tr>
      <w:tr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Profilozás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Hiányzott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22. cikk kockázat (10. pont)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DPIA-001 alapja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C. Aláírási blokk</w:t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400"/>
        <w:gridCol w:w="2800"/>
        <w:gridCol w:w="2200"/>
        <w:gridCol w:w="2238"/>
      </w:tblGrid>
      <w:tr>
        <w:trPr>
          <w:tblHeader/>
        </w:trP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Szerep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Név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Dátum</w:t>
            </w:r>
          </w:p>
        </w:tc>
        <w:tc>
          <w:tcPr>
            <w:tcW w:type="dxa" w:w="2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Aláírás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Készítette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Átvevő / jóváhagyta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Mózer Ferenc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t xml:space="preserve">Következő felülvizsgálat: </w:t>
      </w:r>
      <w:r>
        <w:rPr/>
        <w:t>2027. augusztus 1.</w:t>
      </w:r>
    </w:p>
    <w:p>
      <w:r>
        <w:rPr>
          <w:b/>
          <w:color w:val="0070C0"/>
        </w:rPr>
        <w:t>v1.5a kiegészítés — lépésszám jogosultságok:</w:t>
      </w:r>
    </w:p>
    <w:p>
      <w:r>
        <w:rPr>
          <w:color w:val="0070C0"/>
        </w:rPr>
        <w:t>Androidon az alkalmazás a READ_STEPS mellett READ_HEALTH_DATA_HISTORY és ACTIVITY_RECOGNITION jogosultságot is kérhet. Ezek célja a korábbi időszaki aggregált lépésszám-összesítések és az Android aktivitás-/lépésszám-támogatás biztosítása. Ez nem jelent GPS-, útvonal-, pulzus-, edzéstípus- vagy más egészségügyi adatkezelést.</w:t>
      </w:r>
    </w:p>
    <w:sectPr>
      <w:headerReference w:type="default" r:id="rId7"/>
      <w:footerReference w:type="default" r:id="rId8"/>
      <w:headerReference w:type="first" r:id="rId11"/>
      <w:footerReference w:type="first" r:id="rId12"/>
      <w:headerReference w:type="even" r:id="rId13"/>
      <w:footerReference w:type="even" r:id="rId14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8E6DA" w:sz="4" w:space="4"/>
      </w:pBdr>
      <w:tabs>
        <w:tab w:val="right" w:pos="9638"/>
      </w:tabs>
      <w:spacing w:before="80"/>
    </w:pPr>
    <w:r>
      <w:t>AT-001 | v1.8 | Hatályos: 2026. augusztus 1. | Cashletics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B6B4A" w:sz="8" w:space="4"/>
      </w:pBdr>
      <w:tabs>
        <w:tab w:val="center" w:pos="4819"/>
        <w:tab w:val="right" w:pos="9638"/>
      </w:tabs>
      <w:spacing w:after="80"/>
    </w:pPr>
    <w:r>
      <w:drawing>
        <wp:inline distT="0" distB="0" distL="0" distR="0">
          <wp:extent cx="1238250" cy="4000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color w:val="666666"/>
        <w:sz w:val="18"/>
        <w:szCs w:val="18"/>
      </w:rPr>
      <w:t xml:space="preserve">		Adatkezelési Tájékoztató	AT-001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5ea643938b6e759f2d65543122dc109b20ed843f.jpg"/><Relationship Id="rId10" Type="http://schemas.openxmlformats.org/officeDocument/2006/relationships/fontTable" Target="fontTable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_rels/header1.xml.rels><?xml version='1.0' encoding='UTF-8' standalone='yes'?>
<Relationships xmlns="http://schemas.openxmlformats.org/package/2006/relationships"><Relationship Id="rId0" Type="http://schemas.openxmlformats.org/officeDocument/2006/relationships/image" Target="media/5ea643938b6e759f2d65543122dc109b20ed843f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2026-05-17T08:19:01.899Z</dcterms:created>
  <dcterms:modified xsi:type="dcterms:W3CDTF">2026-05-17T08:19:01.913Z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